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AB0" w:rsidRPr="00BF0E9D" w:rsidRDefault="007E7AB0" w:rsidP="00B91F1C">
      <w:pPr>
        <w:tabs>
          <w:tab w:val="left" w:pos="4140"/>
          <w:tab w:val="left" w:pos="5580"/>
        </w:tabs>
        <w:autoSpaceDE w:val="0"/>
        <w:autoSpaceDN w:val="0"/>
        <w:adjustRightInd w:val="0"/>
        <w:spacing w:line="360" w:lineRule="auto"/>
        <w:ind w:left="-90"/>
        <w:jc w:val="center"/>
        <w:rPr>
          <w:rFonts w:ascii="Cambria" w:hAnsi="Cambria" w:cs="Arial"/>
          <w:b/>
          <w:sz w:val="22"/>
          <w:szCs w:val="22"/>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r w:rsidRPr="00BF0E9D">
        <w:rPr>
          <w:rFonts w:ascii="Cambria" w:hAnsi="Cambria" w:cs="Arial"/>
          <w:b/>
        </w:rPr>
        <w:t xml:space="preserve">BEFORE THE </w:t>
      </w:r>
      <w:r w:rsidR="00F807C8" w:rsidRPr="00BF0E9D">
        <w:rPr>
          <w:rFonts w:ascii="Cambria" w:hAnsi="Cambria" w:cs="Arial"/>
          <w:b/>
        </w:rPr>
        <w:t>ODISHA</w:t>
      </w:r>
      <w:r w:rsidRPr="00BF0E9D">
        <w:rPr>
          <w:rFonts w:ascii="Cambria" w:hAnsi="Cambria" w:cs="Arial"/>
          <w:b/>
        </w:rPr>
        <w:t xml:space="preserve"> E</w:t>
      </w:r>
      <w:smartTag w:uri="urn:schemas-microsoft-com:office:smarttags" w:element="stockticker">
        <w:r w:rsidRPr="00BF0E9D">
          <w:rPr>
            <w:rFonts w:ascii="Cambria" w:hAnsi="Cambria" w:cs="Arial"/>
            <w:b/>
          </w:rPr>
          <w:t>LECT</w:t>
        </w:r>
      </w:smartTag>
      <w:r w:rsidRPr="00BF0E9D">
        <w:rPr>
          <w:rFonts w:ascii="Cambria" w:hAnsi="Cambria" w:cs="Arial"/>
          <w:b/>
        </w:rPr>
        <w:t>RI</w:t>
      </w:r>
      <w:smartTag w:uri="urn:schemas-microsoft-com:office:smarttags" w:element="stockticker">
        <w:r w:rsidRPr="00BF0E9D">
          <w:rPr>
            <w:rFonts w:ascii="Cambria" w:hAnsi="Cambria" w:cs="Arial"/>
            <w:b/>
          </w:rPr>
          <w:t>CITY</w:t>
        </w:r>
      </w:smartTag>
      <w:r w:rsidRPr="00BF0E9D">
        <w:rPr>
          <w:rFonts w:ascii="Cambria" w:hAnsi="Cambria" w:cs="Arial"/>
          <w:b/>
        </w:rPr>
        <w:t xml:space="preserve"> REGULATORY COMMISSION </w:t>
      </w:r>
      <w:smartTag w:uri="urn:schemas-microsoft-com:office:smarttags" w:element="place">
        <w:smartTag w:uri="urn:schemas-microsoft-com:office:smarttags" w:element="City">
          <w:r w:rsidRPr="00BF0E9D">
            <w:rPr>
              <w:rFonts w:ascii="Cambria" w:hAnsi="Cambria" w:cs="Arial"/>
              <w:b/>
            </w:rPr>
            <w:t>BHUBANESWAR</w:t>
          </w:r>
        </w:smartTag>
      </w:smartTag>
    </w:p>
    <w:p w:rsidR="007E7AB0" w:rsidRPr="00BF0E9D" w:rsidRDefault="007E7AB0" w:rsidP="00B91F1C">
      <w:pPr>
        <w:tabs>
          <w:tab w:val="left" w:pos="5580"/>
        </w:tabs>
        <w:autoSpaceDE w:val="0"/>
        <w:autoSpaceDN w:val="0"/>
        <w:adjustRightInd w:val="0"/>
        <w:spacing w:line="360" w:lineRule="auto"/>
        <w:ind w:left="-90"/>
        <w:jc w:val="both"/>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both"/>
        <w:rPr>
          <w:rFonts w:ascii="Cambria" w:hAnsi="Cambria" w:cs="Arial"/>
          <w:b/>
        </w:rPr>
      </w:pPr>
      <w:r w:rsidRPr="00BF0E9D">
        <w:rPr>
          <w:rFonts w:ascii="Cambria" w:hAnsi="Cambria" w:cs="Arial"/>
          <w:b/>
        </w:rPr>
        <w:t xml:space="preserve">IN THE MATTER OF </w:t>
      </w:r>
    </w:p>
    <w:p w:rsidR="007E7AB0" w:rsidRPr="00BF0E9D" w:rsidRDefault="007E7AB0" w:rsidP="00B91F1C">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An Application for approval of A</w:t>
      </w:r>
      <w:r w:rsidR="00676426">
        <w:rPr>
          <w:rFonts w:ascii="Cambria" w:hAnsi="Cambria" w:cs="Arial"/>
          <w:lang w:val="en-GB"/>
        </w:rPr>
        <w:t>ggregate</w:t>
      </w:r>
      <w:r w:rsidRPr="00BF0E9D">
        <w:rPr>
          <w:rFonts w:ascii="Cambria" w:hAnsi="Cambria" w:cs="Arial"/>
          <w:lang w:val="en-GB"/>
        </w:rPr>
        <w:t xml:space="preserve"> Revenue Requirement and Retail Supply Tariff for the financial year 20</w:t>
      </w:r>
      <w:r w:rsidR="00EC33D8">
        <w:rPr>
          <w:rFonts w:ascii="Cambria" w:hAnsi="Cambria" w:cs="Arial"/>
          <w:lang w:val="en-GB"/>
        </w:rPr>
        <w:t>20</w:t>
      </w:r>
      <w:r w:rsidR="00FC554E">
        <w:rPr>
          <w:rFonts w:ascii="Cambria" w:hAnsi="Cambria" w:cs="Arial"/>
          <w:lang w:val="en-GB"/>
        </w:rPr>
        <w:t>-21</w:t>
      </w:r>
      <w:r w:rsidRPr="00BF0E9D">
        <w:rPr>
          <w:rFonts w:ascii="Cambria" w:hAnsi="Cambria" w:cs="Arial"/>
          <w:lang w:val="en-GB"/>
        </w:rPr>
        <w:t xml:space="preserve">, under Section 62 and other applicable provisions of the Electricity Act 2003 and in conformity with the provisions of  OERC </w:t>
      </w:r>
      <w:r w:rsidR="005553F4">
        <w:t>(Terms and Conditions for determination of Wheeling Tariff and Retail Supply Tariff) Regulations, 2014 and OERC (Conduct of Business) Regulation 2004.</w:t>
      </w:r>
    </w:p>
    <w:p w:rsidR="007E7AB0" w:rsidRPr="00BF0E9D" w:rsidRDefault="007E7AB0" w:rsidP="00B91F1C">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AND</w:t>
      </w:r>
    </w:p>
    <w:p w:rsidR="007E7AB0" w:rsidRPr="00BF0E9D" w:rsidRDefault="007E7AB0" w:rsidP="00B91F1C">
      <w:pPr>
        <w:tabs>
          <w:tab w:val="left" w:pos="5580"/>
        </w:tabs>
        <w:autoSpaceDE w:val="0"/>
        <w:autoSpaceDN w:val="0"/>
        <w:adjustRightInd w:val="0"/>
        <w:spacing w:line="360" w:lineRule="auto"/>
        <w:ind w:left="-90"/>
        <w:jc w:val="both"/>
        <w:rPr>
          <w:rFonts w:ascii="Cambria" w:hAnsi="Cambria" w:cs="Arial"/>
        </w:rPr>
      </w:pPr>
      <w:r w:rsidRPr="00BF0E9D">
        <w:rPr>
          <w:rFonts w:ascii="Cambria" w:hAnsi="Cambria" w:cs="Arial"/>
          <w:b/>
        </w:rPr>
        <w:t xml:space="preserve">IN THE MATTER OF </w:t>
      </w:r>
    </w:p>
    <w:p w:rsidR="007E7AB0" w:rsidRDefault="00676426" w:rsidP="004B6F59">
      <w:pPr>
        <w:autoSpaceDE w:val="0"/>
        <w:autoSpaceDN w:val="0"/>
        <w:adjustRightInd w:val="0"/>
        <w:spacing w:line="360" w:lineRule="auto"/>
        <w:ind w:left="2250"/>
        <w:jc w:val="both"/>
        <w:rPr>
          <w:rFonts w:ascii="Cambria" w:hAnsi="Cambria" w:cs="Arial"/>
          <w:lang w:val="en-GB"/>
        </w:rPr>
      </w:pPr>
      <w:r>
        <w:rPr>
          <w:rFonts w:ascii="Cambria" w:hAnsi="Cambria" w:cs="Arial"/>
          <w:lang w:val="en-GB"/>
        </w:rPr>
        <w:t>N</w:t>
      </w:r>
      <w:r w:rsidR="00DB3D60" w:rsidRPr="00BF0E9D">
        <w:rPr>
          <w:rFonts w:ascii="Cambria" w:hAnsi="Cambria" w:cs="Arial"/>
          <w:lang w:val="en-GB"/>
        </w:rPr>
        <w:t>es</w:t>
      </w:r>
      <w:r w:rsidR="005553F4">
        <w:rPr>
          <w:rFonts w:ascii="Cambria" w:hAnsi="Cambria" w:cs="Arial"/>
          <w:lang w:val="en-GB"/>
        </w:rPr>
        <w:t>co Utility</w:t>
      </w:r>
      <w:r w:rsidR="007E7AB0" w:rsidRPr="00BF0E9D">
        <w:rPr>
          <w:rFonts w:ascii="Cambria" w:hAnsi="Cambria" w:cs="Arial"/>
          <w:lang w:val="en-GB"/>
        </w:rPr>
        <w:t xml:space="preserve"> (</w:t>
      </w:r>
      <w:r>
        <w:rPr>
          <w:rFonts w:ascii="Cambria" w:hAnsi="Cambria" w:cs="Arial"/>
          <w:lang w:val="en-GB"/>
        </w:rPr>
        <w:t>N</w:t>
      </w:r>
      <w:r w:rsidR="00DB3D60" w:rsidRPr="00BF0E9D">
        <w:rPr>
          <w:rFonts w:ascii="Cambria" w:hAnsi="Cambria" w:cs="Arial"/>
          <w:lang w:val="en-GB"/>
        </w:rPr>
        <w:t>ESCO</w:t>
      </w:r>
      <w:r w:rsidR="007E7AB0" w:rsidRPr="00BF0E9D">
        <w:rPr>
          <w:rFonts w:ascii="Cambria" w:hAnsi="Cambria" w:cs="Arial"/>
          <w:lang w:val="en-GB"/>
        </w:rPr>
        <w:t>)</w:t>
      </w:r>
    </w:p>
    <w:p w:rsidR="004C45C7" w:rsidRPr="00BF0E9D" w:rsidRDefault="00BB7156" w:rsidP="00B91F1C">
      <w:pPr>
        <w:tabs>
          <w:tab w:val="left" w:pos="5580"/>
        </w:tabs>
        <w:autoSpaceDE w:val="0"/>
        <w:autoSpaceDN w:val="0"/>
        <w:adjustRightInd w:val="0"/>
        <w:spacing w:line="360" w:lineRule="auto"/>
        <w:jc w:val="both"/>
        <w:rPr>
          <w:rFonts w:ascii="Cambria" w:hAnsi="Cambria" w:cs="Arial"/>
          <w:lang w:val="en-GB"/>
        </w:rPr>
      </w:pPr>
      <w:r>
        <w:rPr>
          <w:rFonts w:ascii="Cambria" w:hAnsi="Cambria" w:cs="Arial"/>
          <w:lang w:val="en-GB"/>
        </w:rPr>
        <w:tab/>
      </w:r>
    </w:p>
    <w:p w:rsidR="007E7AB0" w:rsidRPr="00BF0E9D" w:rsidRDefault="00676426" w:rsidP="00B91F1C">
      <w:pPr>
        <w:autoSpaceDE w:val="0"/>
        <w:autoSpaceDN w:val="0"/>
        <w:adjustRightInd w:val="0"/>
        <w:spacing w:line="360" w:lineRule="auto"/>
        <w:ind w:left="2160"/>
        <w:jc w:val="both"/>
        <w:rPr>
          <w:rFonts w:ascii="Cambria" w:hAnsi="Cambria" w:cs="Arial"/>
        </w:rPr>
      </w:pPr>
      <w:r>
        <w:rPr>
          <w:rFonts w:ascii="Cambria" w:hAnsi="Cambria" w:cs="Arial"/>
          <w:lang w:val="en-GB"/>
        </w:rPr>
        <w:t>HQ Office Januganj</w:t>
      </w:r>
      <w:r w:rsidR="005553F4">
        <w:rPr>
          <w:rFonts w:ascii="Cambria" w:hAnsi="Cambria" w:cs="Arial"/>
          <w:lang w:val="en-GB"/>
        </w:rPr>
        <w:t xml:space="preserve">, </w:t>
      </w:r>
      <w:r>
        <w:rPr>
          <w:rFonts w:ascii="Cambria" w:hAnsi="Cambria" w:cs="Arial"/>
          <w:lang w:val="en-GB"/>
        </w:rPr>
        <w:t>Balasore</w:t>
      </w:r>
      <w:r w:rsidR="005553F4">
        <w:rPr>
          <w:rFonts w:ascii="Cambria" w:hAnsi="Cambria" w:cs="Arial"/>
          <w:lang w:val="en-GB"/>
        </w:rPr>
        <w:t>, Odisha-7</w:t>
      </w:r>
      <w:r>
        <w:rPr>
          <w:rFonts w:ascii="Cambria" w:hAnsi="Cambria" w:cs="Arial"/>
          <w:lang w:val="en-GB"/>
        </w:rPr>
        <w:t>5</w:t>
      </w:r>
      <w:r w:rsidR="005553F4">
        <w:rPr>
          <w:rFonts w:ascii="Cambria" w:hAnsi="Cambria" w:cs="Arial"/>
          <w:lang w:val="en-GB"/>
        </w:rPr>
        <w:t>6</w:t>
      </w:r>
      <w:r>
        <w:rPr>
          <w:rFonts w:ascii="Cambria" w:hAnsi="Cambria" w:cs="Arial"/>
          <w:lang w:val="en-GB"/>
        </w:rPr>
        <w:t>019</w:t>
      </w:r>
    </w:p>
    <w:p w:rsidR="007E7AB0" w:rsidRPr="00BF0E9D" w:rsidRDefault="007E7AB0" w:rsidP="00B91F1C">
      <w:pPr>
        <w:autoSpaceDE w:val="0"/>
        <w:autoSpaceDN w:val="0"/>
        <w:adjustRightInd w:val="0"/>
        <w:spacing w:line="360" w:lineRule="auto"/>
        <w:ind w:left="-90"/>
        <w:jc w:val="both"/>
        <w:rPr>
          <w:rFonts w:ascii="Cambria" w:hAnsi="Cambria" w:cs="Arial"/>
          <w:b/>
          <w:bCs/>
        </w:rPr>
      </w:pP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b/>
          <w:bCs/>
        </w:rPr>
        <w:tab/>
      </w:r>
      <w:r w:rsidRPr="00BF0E9D">
        <w:rPr>
          <w:rFonts w:ascii="Cambria" w:hAnsi="Cambria" w:cs="Arial"/>
          <w:b/>
          <w:bCs/>
        </w:rPr>
        <w:tab/>
      </w:r>
      <w:r w:rsidRPr="00BF0E9D">
        <w:rPr>
          <w:rFonts w:ascii="Cambria" w:hAnsi="Cambria" w:cs="Arial"/>
          <w:b/>
          <w:bCs/>
        </w:rPr>
        <w:tab/>
      </w:r>
      <w:r w:rsidR="00241E8A" w:rsidRPr="00BF0E9D">
        <w:rPr>
          <w:rFonts w:ascii="Cambria" w:hAnsi="Cambria" w:cs="Arial"/>
          <w:b/>
          <w:bCs/>
        </w:rPr>
        <w:tab/>
      </w:r>
      <w:r w:rsidRPr="00BF0E9D">
        <w:rPr>
          <w:rFonts w:ascii="Cambria" w:hAnsi="Cambria" w:cs="Arial"/>
          <w:b/>
          <w:bCs/>
        </w:rPr>
        <w:t>---------</w:t>
      </w:r>
      <w:r w:rsidR="006C38E9">
        <w:rPr>
          <w:rFonts w:ascii="Cambria" w:hAnsi="Cambria" w:cs="Arial"/>
          <w:b/>
          <w:bCs/>
        </w:rPr>
        <w:t>Utility</w:t>
      </w: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rPr>
          <w:rFonts w:ascii="Cambria" w:hAnsi="Cambria" w:cs="Arial"/>
          <w:b/>
        </w:rPr>
      </w:pPr>
      <w:r w:rsidRPr="00BF0E9D">
        <w:rPr>
          <w:rFonts w:ascii="Cambria" w:hAnsi="Cambria" w:cs="Arial"/>
          <w:b/>
        </w:rPr>
        <w:t>The Humble applicant above named respectfully sh</w:t>
      </w:r>
      <w:r w:rsidR="00EF3F70" w:rsidRPr="00BF0E9D">
        <w:rPr>
          <w:rFonts w:ascii="Cambria" w:hAnsi="Cambria" w:cs="Arial"/>
          <w:b/>
        </w:rPr>
        <w:t>e</w:t>
      </w:r>
      <w:r w:rsidRPr="00BF0E9D">
        <w:rPr>
          <w:rFonts w:ascii="Cambria" w:hAnsi="Cambria" w:cs="Arial"/>
          <w:b/>
        </w:rPr>
        <w:t>weth:</w:t>
      </w: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0263F3" w:rsidP="005553F4">
      <w:pPr>
        <w:tabs>
          <w:tab w:val="left" w:pos="5580"/>
        </w:tabs>
        <w:autoSpaceDE w:val="0"/>
        <w:autoSpaceDN w:val="0"/>
        <w:adjustRightInd w:val="0"/>
        <w:spacing w:line="360" w:lineRule="auto"/>
        <w:ind w:left="-90"/>
        <w:jc w:val="center"/>
        <w:rPr>
          <w:rFonts w:ascii="Cambria" w:hAnsi="Cambria" w:cs="Arial"/>
          <w:b/>
        </w:rPr>
      </w:pPr>
      <w:r>
        <w:rPr>
          <w:rFonts w:ascii="Cambria" w:hAnsi="Cambria" w:cs="Arial"/>
          <w:b/>
        </w:rPr>
        <w:tab/>
        <w:t xml:space="preserve">Authorised </w:t>
      </w:r>
      <w:r w:rsidR="005553F4">
        <w:rPr>
          <w:rFonts w:ascii="Cambria" w:hAnsi="Cambria" w:cs="Arial"/>
          <w:b/>
        </w:rPr>
        <w:t xml:space="preserve"> Officer</w:t>
      </w:r>
      <w:r w:rsidR="007E7AB0" w:rsidRPr="00BF0E9D">
        <w:rPr>
          <w:rFonts w:ascii="Cambria" w:hAnsi="Cambria" w:cs="Arial"/>
          <w:b/>
        </w:rPr>
        <w:t xml:space="preserve">, </w:t>
      </w:r>
      <w:r w:rsidR="00676426">
        <w:rPr>
          <w:rFonts w:ascii="Cambria" w:hAnsi="Cambria" w:cs="Arial"/>
          <w:b/>
        </w:rPr>
        <w:t>NE</w:t>
      </w:r>
      <w:r w:rsidR="00DB3D60" w:rsidRPr="00BF0E9D">
        <w:rPr>
          <w:rFonts w:ascii="Cambria" w:hAnsi="Cambria" w:cs="Arial"/>
          <w:b/>
        </w:rPr>
        <w:t>SCO</w:t>
      </w: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Default="007E7AB0" w:rsidP="00B91F1C">
      <w:pPr>
        <w:tabs>
          <w:tab w:val="left" w:pos="5580"/>
        </w:tabs>
        <w:autoSpaceDE w:val="0"/>
        <w:autoSpaceDN w:val="0"/>
        <w:adjustRightInd w:val="0"/>
        <w:spacing w:line="360" w:lineRule="auto"/>
        <w:ind w:left="-90"/>
        <w:jc w:val="center"/>
        <w:rPr>
          <w:rFonts w:ascii="Cambria" w:hAnsi="Cambria" w:cs="Arial"/>
          <w:b/>
        </w:rPr>
      </w:pPr>
    </w:p>
    <w:p w:rsidR="004F1964" w:rsidRDefault="004F1964" w:rsidP="00B91F1C">
      <w:pPr>
        <w:tabs>
          <w:tab w:val="left" w:pos="5580"/>
        </w:tabs>
        <w:autoSpaceDE w:val="0"/>
        <w:autoSpaceDN w:val="0"/>
        <w:adjustRightInd w:val="0"/>
        <w:spacing w:line="360" w:lineRule="auto"/>
        <w:ind w:left="-90"/>
        <w:jc w:val="center"/>
        <w:rPr>
          <w:rFonts w:ascii="Cambria" w:hAnsi="Cambria" w:cs="Arial"/>
          <w:b/>
        </w:rPr>
      </w:pPr>
    </w:p>
    <w:p w:rsidR="004F1964" w:rsidRDefault="004F1964" w:rsidP="00B91F1C">
      <w:pPr>
        <w:tabs>
          <w:tab w:val="left" w:pos="5580"/>
        </w:tabs>
        <w:autoSpaceDE w:val="0"/>
        <w:autoSpaceDN w:val="0"/>
        <w:adjustRightInd w:val="0"/>
        <w:spacing w:line="360" w:lineRule="auto"/>
        <w:ind w:left="-90"/>
        <w:jc w:val="center"/>
        <w:rPr>
          <w:rFonts w:ascii="Cambria" w:hAnsi="Cambria" w:cs="Arial"/>
          <w:b/>
        </w:rPr>
      </w:pPr>
    </w:p>
    <w:p w:rsidR="004F1964" w:rsidRPr="00BF0E9D" w:rsidRDefault="004F1964"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7E7AB0" w:rsidRPr="00BF0E9D" w:rsidRDefault="007E7AB0" w:rsidP="00B91F1C">
      <w:pPr>
        <w:tabs>
          <w:tab w:val="left" w:pos="5580"/>
        </w:tabs>
        <w:autoSpaceDE w:val="0"/>
        <w:autoSpaceDN w:val="0"/>
        <w:adjustRightInd w:val="0"/>
        <w:spacing w:line="360" w:lineRule="auto"/>
        <w:ind w:left="-90"/>
        <w:jc w:val="center"/>
        <w:rPr>
          <w:rFonts w:ascii="Cambria" w:hAnsi="Cambria" w:cs="Arial"/>
          <w:b/>
        </w:rPr>
      </w:pPr>
    </w:p>
    <w:p w:rsidR="00FB208C" w:rsidRPr="00BF0E9D" w:rsidRDefault="00670C03" w:rsidP="00B91F1C">
      <w:pPr>
        <w:tabs>
          <w:tab w:val="left" w:pos="5580"/>
        </w:tabs>
        <w:autoSpaceDE w:val="0"/>
        <w:autoSpaceDN w:val="0"/>
        <w:adjustRightInd w:val="0"/>
        <w:spacing w:line="360" w:lineRule="auto"/>
        <w:ind w:left="-86"/>
        <w:rPr>
          <w:rFonts w:ascii="Cambria" w:hAnsi="Cambria" w:cs="Arial"/>
          <w:b/>
        </w:rPr>
      </w:pPr>
      <w:r w:rsidRPr="00BF0E9D">
        <w:rPr>
          <w:rFonts w:ascii="Cambria" w:hAnsi="Cambria" w:cs="Arial"/>
          <w:b/>
        </w:rPr>
        <w:lastRenderedPageBreak/>
        <w:t>B</w:t>
      </w:r>
      <w:r w:rsidR="00BF47FD" w:rsidRPr="00BF0E9D">
        <w:rPr>
          <w:rFonts w:ascii="Cambria" w:hAnsi="Cambria" w:cs="Arial"/>
          <w:b/>
        </w:rPr>
        <w:t xml:space="preserve">EFORE THE </w:t>
      </w:r>
      <w:r w:rsidR="00F807C8" w:rsidRPr="00BF0E9D">
        <w:rPr>
          <w:rFonts w:ascii="Cambria" w:hAnsi="Cambria" w:cs="Arial"/>
          <w:b/>
        </w:rPr>
        <w:t>ODISHA</w:t>
      </w:r>
      <w:r w:rsidR="00BF47FD" w:rsidRPr="00BF0E9D">
        <w:rPr>
          <w:rFonts w:ascii="Cambria" w:hAnsi="Cambria" w:cs="Arial"/>
          <w:b/>
        </w:rPr>
        <w:t xml:space="preserve"> E</w:t>
      </w:r>
      <w:smartTag w:uri="urn:schemas-microsoft-com:office:smarttags" w:element="stockticker">
        <w:r w:rsidR="00BF47FD" w:rsidRPr="00BF0E9D">
          <w:rPr>
            <w:rFonts w:ascii="Cambria" w:hAnsi="Cambria" w:cs="Arial"/>
            <w:b/>
          </w:rPr>
          <w:t>LECT</w:t>
        </w:r>
      </w:smartTag>
      <w:r w:rsidR="00BF47FD" w:rsidRPr="00BF0E9D">
        <w:rPr>
          <w:rFonts w:ascii="Cambria" w:hAnsi="Cambria" w:cs="Arial"/>
          <w:b/>
        </w:rPr>
        <w:t>RI</w:t>
      </w:r>
      <w:smartTag w:uri="urn:schemas-microsoft-com:office:smarttags" w:element="stockticker">
        <w:r w:rsidR="00BF47FD" w:rsidRPr="00BF0E9D">
          <w:rPr>
            <w:rFonts w:ascii="Cambria" w:hAnsi="Cambria" w:cs="Arial"/>
            <w:b/>
          </w:rPr>
          <w:t>CITY</w:t>
        </w:r>
      </w:smartTag>
      <w:r w:rsidR="00BF47FD" w:rsidRPr="00BF0E9D">
        <w:rPr>
          <w:rFonts w:ascii="Cambria" w:hAnsi="Cambria" w:cs="Arial"/>
          <w:b/>
        </w:rPr>
        <w:t xml:space="preserve"> REGULATORY COMMISSION BHUBANESWAR</w:t>
      </w:r>
    </w:p>
    <w:p w:rsidR="00BF47FD" w:rsidRPr="00BF0E9D" w:rsidRDefault="00BF47FD" w:rsidP="00B91F1C">
      <w:pPr>
        <w:tabs>
          <w:tab w:val="left" w:pos="5580"/>
        </w:tabs>
        <w:autoSpaceDE w:val="0"/>
        <w:autoSpaceDN w:val="0"/>
        <w:adjustRightInd w:val="0"/>
        <w:spacing w:line="360" w:lineRule="auto"/>
        <w:ind w:left="-90"/>
        <w:jc w:val="both"/>
        <w:rPr>
          <w:rFonts w:ascii="Cambria" w:hAnsi="Cambria" w:cs="Arial"/>
          <w:b/>
        </w:rPr>
      </w:pPr>
      <w:r w:rsidRPr="00BF0E9D">
        <w:rPr>
          <w:rFonts w:ascii="Cambria" w:hAnsi="Cambria" w:cs="Arial"/>
          <w:b/>
        </w:rPr>
        <w:t xml:space="preserve">IN THE MATTER OF </w:t>
      </w:r>
    </w:p>
    <w:p w:rsidR="005553F4" w:rsidRDefault="00BF47FD" w:rsidP="00B91F1C">
      <w:pPr>
        <w:autoSpaceDE w:val="0"/>
        <w:autoSpaceDN w:val="0"/>
        <w:adjustRightInd w:val="0"/>
        <w:spacing w:line="360" w:lineRule="auto"/>
        <w:ind w:left="2250"/>
        <w:jc w:val="both"/>
      </w:pPr>
      <w:r w:rsidRPr="00BF0E9D">
        <w:rPr>
          <w:rFonts w:ascii="Cambria" w:hAnsi="Cambria" w:cs="Arial"/>
          <w:lang w:val="en-GB"/>
        </w:rPr>
        <w:t>An Application for approval of A</w:t>
      </w:r>
      <w:r w:rsidR="00C54E8E">
        <w:rPr>
          <w:rFonts w:ascii="Cambria" w:hAnsi="Cambria" w:cs="Arial"/>
          <w:lang w:val="en-GB"/>
        </w:rPr>
        <w:t>ggregate</w:t>
      </w:r>
      <w:r w:rsidRPr="00BF0E9D">
        <w:rPr>
          <w:rFonts w:ascii="Cambria" w:hAnsi="Cambria" w:cs="Arial"/>
          <w:lang w:val="en-GB"/>
        </w:rPr>
        <w:t xml:space="preserve"> Revenue Requirement and Retail Supply Tariff for the financial year 20</w:t>
      </w:r>
      <w:r w:rsidR="002F4A0A">
        <w:rPr>
          <w:rFonts w:ascii="Cambria" w:hAnsi="Cambria" w:cs="Arial"/>
          <w:lang w:val="en-GB"/>
        </w:rPr>
        <w:t>2</w:t>
      </w:r>
      <w:r w:rsidR="0017095C">
        <w:rPr>
          <w:rFonts w:ascii="Cambria" w:hAnsi="Cambria" w:cs="Arial"/>
          <w:lang w:val="en-GB"/>
        </w:rPr>
        <w:t>0</w:t>
      </w:r>
      <w:r w:rsidR="002F4A0A">
        <w:rPr>
          <w:rFonts w:ascii="Cambria" w:hAnsi="Cambria" w:cs="Arial"/>
          <w:lang w:val="en-GB"/>
        </w:rPr>
        <w:t>-21</w:t>
      </w:r>
      <w:r w:rsidR="00F55F18" w:rsidRPr="00BF0E9D">
        <w:rPr>
          <w:rFonts w:ascii="Cambria" w:hAnsi="Cambria" w:cs="Arial"/>
          <w:lang w:val="en-GB"/>
        </w:rPr>
        <w:t xml:space="preserve"> </w:t>
      </w:r>
      <w:r w:rsidRPr="00BF0E9D">
        <w:rPr>
          <w:rFonts w:ascii="Cambria" w:hAnsi="Cambria" w:cs="Arial"/>
          <w:lang w:val="en-GB"/>
        </w:rPr>
        <w:t xml:space="preserve">, under Section 62 and other applicable provisions of the Electricity Act 2003 and in conformity with </w:t>
      </w:r>
      <w:r w:rsidR="004B05DE" w:rsidRPr="00BF0E9D">
        <w:rPr>
          <w:rFonts w:ascii="Cambria" w:hAnsi="Cambria" w:cs="Arial"/>
          <w:lang w:val="en-GB"/>
        </w:rPr>
        <w:t xml:space="preserve">the provisions of  OERC </w:t>
      </w:r>
      <w:r w:rsidR="005553F4">
        <w:t>(Terms and Conditions for determination of Wheeling Tariff and Retail Supply Tariff) Regulations, 2014 and OERC (Conduct of Business) Regulation 2004.</w:t>
      </w:r>
    </w:p>
    <w:p w:rsidR="00BF47FD" w:rsidRPr="00BF0E9D" w:rsidRDefault="00BF47FD" w:rsidP="00B91F1C">
      <w:pPr>
        <w:autoSpaceDE w:val="0"/>
        <w:autoSpaceDN w:val="0"/>
        <w:adjustRightInd w:val="0"/>
        <w:spacing w:line="360" w:lineRule="auto"/>
        <w:ind w:left="2250"/>
        <w:jc w:val="both"/>
        <w:rPr>
          <w:rFonts w:ascii="Cambria" w:hAnsi="Cambria" w:cs="Arial"/>
          <w:lang w:val="en-GB"/>
        </w:rPr>
      </w:pPr>
      <w:r w:rsidRPr="00BF0E9D">
        <w:rPr>
          <w:rFonts w:ascii="Cambria" w:hAnsi="Cambria" w:cs="Arial"/>
          <w:lang w:val="en-GB"/>
        </w:rPr>
        <w:t>AND</w:t>
      </w:r>
    </w:p>
    <w:p w:rsidR="00BF47FD" w:rsidRPr="00BF0E9D" w:rsidRDefault="00BF47FD" w:rsidP="00B91F1C">
      <w:pPr>
        <w:tabs>
          <w:tab w:val="left" w:pos="5580"/>
        </w:tabs>
        <w:autoSpaceDE w:val="0"/>
        <w:autoSpaceDN w:val="0"/>
        <w:adjustRightInd w:val="0"/>
        <w:spacing w:line="360" w:lineRule="auto"/>
        <w:ind w:left="-90"/>
        <w:jc w:val="both"/>
        <w:rPr>
          <w:rFonts w:ascii="Cambria" w:hAnsi="Cambria" w:cs="Arial"/>
        </w:rPr>
      </w:pPr>
      <w:r w:rsidRPr="00BF0E9D">
        <w:rPr>
          <w:rFonts w:ascii="Cambria" w:hAnsi="Cambria" w:cs="Arial"/>
          <w:b/>
        </w:rPr>
        <w:t xml:space="preserve">IN THE MATTER OF </w:t>
      </w:r>
    </w:p>
    <w:p w:rsidR="005553F4" w:rsidRDefault="00C54E8E" w:rsidP="005553F4">
      <w:pPr>
        <w:autoSpaceDE w:val="0"/>
        <w:autoSpaceDN w:val="0"/>
        <w:adjustRightInd w:val="0"/>
        <w:spacing w:line="360" w:lineRule="auto"/>
        <w:ind w:left="2250"/>
        <w:jc w:val="both"/>
        <w:rPr>
          <w:rFonts w:ascii="Cambria" w:hAnsi="Cambria" w:cs="Arial"/>
          <w:lang w:val="en-GB"/>
        </w:rPr>
      </w:pPr>
      <w:r>
        <w:rPr>
          <w:rFonts w:ascii="Cambria" w:hAnsi="Cambria" w:cs="Arial"/>
          <w:lang w:val="en-GB"/>
        </w:rPr>
        <w:t>N</w:t>
      </w:r>
      <w:r w:rsidR="005553F4" w:rsidRPr="00BF0E9D">
        <w:rPr>
          <w:rFonts w:ascii="Cambria" w:hAnsi="Cambria" w:cs="Arial"/>
          <w:lang w:val="en-GB"/>
        </w:rPr>
        <w:t>es</w:t>
      </w:r>
      <w:r w:rsidR="005553F4">
        <w:rPr>
          <w:rFonts w:ascii="Cambria" w:hAnsi="Cambria" w:cs="Arial"/>
          <w:lang w:val="en-GB"/>
        </w:rPr>
        <w:t>co Utility</w:t>
      </w:r>
      <w:r>
        <w:rPr>
          <w:rFonts w:ascii="Cambria" w:hAnsi="Cambria" w:cs="Arial"/>
          <w:lang w:val="en-GB"/>
        </w:rPr>
        <w:t xml:space="preserve"> (N</w:t>
      </w:r>
      <w:r w:rsidR="005553F4" w:rsidRPr="00BF0E9D">
        <w:rPr>
          <w:rFonts w:ascii="Cambria" w:hAnsi="Cambria" w:cs="Arial"/>
          <w:lang w:val="en-GB"/>
        </w:rPr>
        <w:t>ESCO)</w:t>
      </w:r>
    </w:p>
    <w:p w:rsidR="005553F4" w:rsidRPr="00BF0E9D" w:rsidRDefault="005553F4" w:rsidP="005553F4">
      <w:pPr>
        <w:tabs>
          <w:tab w:val="left" w:pos="5580"/>
        </w:tabs>
        <w:autoSpaceDE w:val="0"/>
        <w:autoSpaceDN w:val="0"/>
        <w:adjustRightInd w:val="0"/>
        <w:spacing w:line="360" w:lineRule="auto"/>
        <w:jc w:val="both"/>
        <w:rPr>
          <w:rFonts w:ascii="Cambria" w:hAnsi="Cambria" w:cs="Arial"/>
          <w:lang w:val="en-GB"/>
        </w:rPr>
      </w:pPr>
      <w:r>
        <w:rPr>
          <w:rFonts w:ascii="Cambria" w:hAnsi="Cambria" w:cs="Arial"/>
          <w:lang w:val="en-GB"/>
        </w:rPr>
        <w:tab/>
      </w:r>
    </w:p>
    <w:p w:rsidR="00C54E8E" w:rsidRPr="00BF0E9D" w:rsidRDefault="00C54E8E" w:rsidP="00C54E8E">
      <w:pPr>
        <w:autoSpaceDE w:val="0"/>
        <w:autoSpaceDN w:val="0"/>
        <w:adjustRightInd w:val="0"/>
        <w:spacing w:line="360" w:lineRule="auto"/>
        <w:ind w:left="2160"/>
        <w:jc w:val="both"/>
        <w:rPr>
          <w:rFonts w:ascii="Cambria" w:hAnsi="Cambria" w:cs="Arial"/>
        </w:rPr>
      </w:pPr>
      <w:r>
        <w:rPr>
          <w:rFonts w:ascii="Cambria" w:hAnsi="Cambria" w:cs="Arial"/>
          <w:lang w:val="en-GB"/>
        </w:rPr>
        <w:t>HQ Office Januganj, Balasore, Odisha-756019</w:t>
      </w:r>
    </w:p>
    <w:p w:rsidR="00BF47FD" w:rsidRPr="00BF0E9D" w:rsidRDefault="00BF47FD" w:rsidP="00B91F1C">
      <w:pPr>
        <w:autoSpaceDE w:val="0"/>
        <w:autoSpaceDN w:val="0"/>
        <w:adjustRightInd w:val="0"/>
        <w:spacing w:line="360" w:lineRule="auto"/>
        <w:ind w:left="2160"/>
        <w:jc w:val="both"/>
        <w:rPr>
          <w:rFonts w:ascii="Cambria" w:hAnsi="Cambria" w:cs="Arial"/>
        </w:rPr>
      </w:pPr>
    </w:p>
    <w:p w:rsidR="00BF47FD" w:rsidRPr="00BF0E9D" w:rsidRDefault="00BF47FD" w:rsidP="00B91F1C">
      <w:pPr>
        <w:autoSpaceDE w:val="0"/>
        <w:autoSpaceDN w:val="0"/>
        <w:adjustRightInd w:val="0"/>
        <w:spacing w:line="360" w:lineRule="auto"/>
        <w:ind w:left="-90"/>
        <w:jc w:val="both"/>
        <w:rPr>
          <w:rFonts w:ascii="Cambria" w:hAnsi="Cambria" w:cs="Arial"/>
          <w:b/>
          <w:bCs/>
        </w:rPr>
      </w:pP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b/>
          <w:bCs/>
        </w:rPr>
        <w:tab/>
      </w:r>
      <w:r w:rsidRPr="00BF0E9D">
        <w:rPr>
          <w:rFonts w:ascii="Cambria" w:hAnsi="Cambria" w:cs="Arial"/>
          <w:b/>
          <w:bCs/>
        </w:rPr>
        <w:tab/>
      </w:r>
      <w:r w:rsidRPr="00BF0E9D">
        <w:rPr>
          <w:rFonts w:ascii="Cambria" w:hAnsi="Cambria" w:cs="Arial"/>
          <w:b/>
          <w:bCs/>
        </w:rPr>
        <w:tab/>
      </w:r>
      <w:r w:rsidR="00241E8A" w:rsidRPr="00BF0E9D">
        <w:rPr>
          <w:rFonts w:ascii="Cambria" w:hAnsi="Cambria" w:cs="Arial"/>
          <w:b/>
          <w:bCs/>
        </w:rPr>
        <w:tab/>
      </w:r>
      <w:r w:rsidRPr="00BF0E9D">
        <w:rPr>
          <w:rFonts w:ascii="Cambria" w:hAnsi="Cambria" w:cs="Arial"/>
          <w:b/>
          <w:bCs/>
        </w:rPr>
        <w:t>---------</w:t>
      </w:r>
      <w:r w:rsidR="006C38E9">
        <w:rPr>
          <w:rFonts w:ascii="Cambria" w:hAnsi="Cambria" w:cs="Arial"/>
          <w:b/>
          <w:bCs/>
        </w:rPr>
        <w:t>Utility</w:t>
      </w:r>
    </w:p>
    <w:p w:rsidR="00BF47FD" w:rsidRPr="00BF0E9D" w:rsidRDefault="00BF47FD" w:rsidP="00B91F1C">
      <w:pPr>
        <w:autoSpaceDE w:val="0"/>
        <w:autoSpaceDN w:val="0"/>
        <w:adjustRightInd w:val="0"/>
        <w:spacing w:line="360" w:lineRule="auto"/>
        <w:ind w:left="-86"/>
        <w:rPr>
          <w:rFonts w:ascii="Cambria" w:hAnsi="Cambria" w:cs="Arial"/>
          <w:b/>
          <w:bCs/>
        </w:rPr>
      </w:pPr>
      <w:r w:rsidRPr="00BF0E9D">
        <w:rPr>
          <w:rFonts w:ascii="Cambria" w:hAnsi="Cambria" w:cs="Arial"/>
          <w:b/>
          <w:bCs/>
        </w:rPr>
        <w:t>Affidavit verifyin</w:t>
      </w:r>
      <w:r w:rsidR="00C54E8E">
        <w:rPr>
          <w:rFonts w:ascii="Cambria" w:hAnsi="Cambria" w:cs="Arial"/>
          <w:b/>
          <w:bCs/>
        </w:rPr>
        <w:t>g the application for the Aggregate</w:t>
      </w:r>
      <w:r w:rsidRPr="00BF0E9D">
        <w:rPr>
          <w:rFonts w:ascii="Cambria" w:hAnsi="Cambria" w:cs="Arial"/>
          <w:b/>
          <w:bCs/>
        </w:rPr>
        <w:t xml:space="preserve"> Revenue Requirement and Tariff Application</w:t>
      </w:r>
    </w:p>
    <w:p w:rsidR="000A6635" w:rsidRPr="00BF0E9D" w:rsidRDefault="000A6635" w:rsidP="00B91F1C">
      <w:pPr>
        <w:autoSpaceDE w:val="0"/>
        <w:autoSpaceDN w:val="0"/>
        <w:adjustRightInd w:val="0"/>
        <w:spacing w:line="360" w:lineRule="auto"/>
        <w:ind w:left="-90"/>
        <w:jc w:val="both"/>
        <w:rPr>
          <w:rFonts w:ascii="Cambria" w:hAnsi="Cambria" w:cs="Arial"/>
          <w:lang w:val="en-GB"/>
        </w:rPr>
      </w:pPr>
    </w:p>
    <w:p w:rsidR="00BF47FD" w:rsidRPr="00BF0E9D" w:rsidRDefault="00BF47FD" w:rsidP="00B91F1C">
      <w:pPr>
        <w:autoSpaceDE w:val="0"/>
        <w:autoSpaceDN w:val="0"/>
        <w:adjustRightInd w:val="0"/>
        <w:spacing w:line="360" w:lineRule="auto"/>
        <w:ind w:left="-90"/>
        <w:jc w:val="both"/>
        <w:rPr>
          <w:rFonts w:ascii="Cambria" w:hAnsi="Cambria" w:cs="Arial"/>
          <w:lang w:val="en-GB"/>
        </w:rPr>
      </w:pPr>
      <w:r w:rsidRPr="000F0720">
        <w:rPr>
          <w:rFonts w:ascii="Cambria" w:hAnsi="Cambria" w:cs="Arial"/>
          <w:lang w:val="en-GB"/>
        </w:rPr>
        <w:t xml:space="preserve">I, </w:t>
      </w:r>
      <w:r w:rsidR="002F4A0A" w:rsidRPr="000F0720">
        <w:rPr>
          <w:rFonts w:ascii="Cambria" w:hAnsi="Cambria" w:cs="Arial"/>
          <w:lang w:val="en-GB"/>
        </w:rPr>
        <w:t>Shankar Krishnan</w:t>
      </w:r>
      <w:r w:rsidRPr="000F0720">
        <w:rPr>
          <w:rFonts w:ascii="Cambria" w:hAnsi="Cambria" w:cs="Arial"/>
          <w:lang w:val="en-GB"/>
        </w:rPr>
        <w:t>, Son of</w:t>
      </w:r>
      <w:r w:rsidR="00EF3F70" w:rsidRPr="000F0720">
        <w:rPr>
          <w:rFonts w:ascii="Cambria" w:hAnsi="Cambria" w:cs="Arial"/>
          <w:lang w:val="en-GB"/>
        </w:rPr>
        <w:t xml:space="preserve"> </w:t>
      </w:r>
      <w:r w:rsidR="000F0720" w:rsidRPr="000F0720">
        <w:rPr>
          <w:rFonts w:ascii="Cambria" w:hAnsi="Cambria" w:cs="Arial"/>
          <w:lang w:val="en-GB"/>
        </w:rPr>
        <w:t xml:space="preserve">Late </w:t>
      </w:r>
      <w:r w:rsidR="00C54E8E" w:rsidRPr="000F0720">
        <w:rPr>
          <w:rFonts w:ascii="Cambria" w:hAnsi="Cambria" w:cs="Arial"/>
          <w:lang w:val="en-GB"/>
        </w:rPr>
        <w:t xml:space="preserve">Sri </w:t>
      </w:r>
      <w:r w:rsidR="000F0720" w:rsidRPr="000F0720">
        <w:rPr>
          <w:rFonts w:ascii="Cambria" w:hAnsi="Cambria" w:cs="Arial"/>
          <w:lang w:val="en-GB"/>
        </w:rPr>
        <w:t>Subramanyam Krishnan</w:t>
      </w:r>
      <w:r w:rsidR="008E02FF" w:rsidRPr="000F0720">
        <w:rPr>
          <w:rFonts w:ascii="Cambria" w:hAnsi="Cambria" w:cs="Arial"/>
          <w:lang w:val="en-GB"/>
        </w:rPr>
        <w:t>,</w:t>
      </w:r>
      <w:r w:rsidRPr="000F0720">
        <w:rPr>
          <w:rFonts w:ascii="Cambria" w:hAnsi="Cambria" w:cs="Arial"/>
          <w:lang w:val="en-GB"/>
        </w:rPr>
        <w:t xml:space="preserve"> aged about </w:t>
      </w:r>
      <w:r w:rsidR="00AA4FBB" w:rsidRPr="000F0720">
        <w:rPr>
          <w:rFonts w:ascii="Cambria" w:hAnsi="Cambria" w:cs="Arial"/>
          <w:lang w:val="en-GB"/>
        </w:rPr>
        <w:t xml:space="preserve"> </w:t>
      </w:r>
      <w:r w:rsidR="00EF3F70" w:rsidRPr="000F0720">
        <w:rPr>
          <w:rFonts w:ascii="Cambria" w:hAnsi="Cambria" w:cs="Arial"/>
          <w:lang w:val="en-GB"/>
        </w:rPr>
        <w:t>5</w:t>
      </w:r>
      <w:r w:rsidR="0017095C" w:rsidRPr="000F0720">
        <w:rPr>
          <w:rFonts w:ascii="Cambria" w:hAnsi="Cambria" w:cs="Arial"/>
          <w:lang w:val="en-GB"/>
        </w:rPr>
        <w:t>9</w:t>
      </w:r>
      <w:r w:rsidR="00EF3F70" w:rsidRPr="000F0720">
        <w:rPr>
          <w:rFonts w:ascii="Cambria" w:hAnsi="Cambria" w:cs="Arial"/>
          <w:lang w:val="en-GB"/>
        </w:rPr>
        <w:t xml:space="preserve"> </w:t>
      </w:r>
      <w:r w:rsidRPr="000F0720">
        <w:rPr>
          <w:rFonts w:ascii="Cambria" w:hAnsi="Cambria" w:cs="Arial"/>
          <w:lang w:val="en-GB"/>
        </w:rPr>
        <w:t>years, residing</w:t>
      </w:r>
      <w:r w:rsidRPr="00BF0E9D">
        <w:rPr>
          <w:rFonts w:ascii="Cambria" w:hAnsi="Cambria" w:cs="Arial"/>
          <w:lang w:val="en-GB"/>
        </w:rPr>
        <w:t xml:space="preserve"> at</w:t>
      </w:r>
      <w:r w:rsidR="00CA52CC" w:rsidRPr="00BF0E9D">
        <w:rPr>
          <w:rFonts w:ascii="Cambria" w:hAnsi="Cambria" w:cs="Arial"/>
          <w:lang w:val="en-GB"/>
        </w:rPr>
        <w:t xml:space="preserve">, </w:t>
      </w:r>
      <w:r w:rsidR="00C54E8E">
        <w:rPr>
          <w:rFonts w:ascii="Cambria" w:hAnsi="Cambria" w:cs="Arial"/>
          <w:lang w:val="en-GB"/>
        </w:rPr>
        <w:t>Balasore</w:t>
      </w:r>
      <w:r w:rsidRPr="00BF0E9D">
        <w:rPr>
          <w:rFonts w:ascii="Cambria" w:hAnsi="Cambria" w:cs="Arial"/>
          <w:lang w:val="en-GB"/>
        </w:rPr>
        <w:t>, do hereby solemnly affirm and state as follows:-</w:t>
      </w:r>
    </w:p>
    <w:p w:rsidR="00BF47FD" w:rsidRPr="00BF0E9D" w:rsidRDefault="00BF47FD" w:rsidP="00B91F1C">
      <w:pPr>
        <w:autoSpaceDE w:val="0"/>
        <w:autoSpaceDN w:val="0"/>
        <w:adjustRightInd w:val="0"/>
        <w:spacing w:line="360" w:lineRule="auto"/>
        <w:ind w:left="-90"/>
        <w:jc w:val="both"/>
        <w:rPr>
          <w:rFonts w:ascii="Cambria" w:hAnsi="Cambria" w:cs="Arial"/>
          <w:sz w:val="16"/>
          <w:szCs w:val="16"/>
          <w:lang w:val="en-GB"/>
        </w:rPr>
      </w:pPr>
    </w:p>
    <w:p w:rsidR="00BF47FD" w:rsidRPr="00BF0E9D" w:rsidRDefault="00BF47FD" w:rsidP="00B91F1C">
      <w:pPr>
        <w:autoSpaceDE w:val="0"/>
        <w:autoSpaceDN w:val="0"/>
        <w:adjustRightInd w:val="0"/>
        <w:spacing w:line="360" w:lineRule="auto"/>
        <w:ind w:left="-90"/>
        <w:jc w:val="both"/>
        <w:rPr>
          <w:rFonts w:ascii="Cambria" w:hAnsi="Cambria" w:cs="Arial"/>
          <w:lang w:val="en-GB"/>
        </w:rPr>
      </w:pPr>
      <w:r w:rsidRPr="00BF0E9D">
        <w:rPr>
          <w:rFonts w:ascii="Cambria" w:hAnsi="Cambria" w:cs="Arial"/>
          <w:lang w:val="en-GB"/>
        </w:rPr>
        <w:t xml:space="preserve">I am the </w:t>
      </w:r>
      <w:r w:rsidR="00E278DA">
        <w:rPr>
          <w:rFonts w:ascii="Cambria" w:hAnsi="Cambria" w:cs="Arial"/>
          <w:lang w:val="en-GB"/>
        </w:rPr>
        <w:t xml:space="preserve">Authorised Officer of Administrator </w:t>
      </w:r>
      <w:r w:rsidR="00CE2BD3">
        <w:rPr>
          <w:rFonts w:ascii="Cambria" w:hAnsi="Cambria" w:cs="Arial"/>
          <w:lang w:val="en-GB"/>
        </w:rPr>
        <w:t>for</w:t>
      </w:r>
      <w:r w:rsidRPr="00BF0E9D">
        <w:rPr>
          <w:rFonts w:ascii="Cambria" w:hAnsi="Cambria" w:cs="Arial"/>
          <w:lang w:val="en-GB"/>
        </w:rPr>
        <w:t xml:space="preserve"> </w:t>
      </w:r>
      <w:r w:rsidR="00C54E8E">
        <w:rPr>
          <w:rFonts w:ascii="Cambria" w:hAnsi="Cambria" w:cs="Arial"/>
          <w:lang w:val="en-GB"/>
        </w:rPr>
        <w:t>N</w:t>
      </w:r>
      <w:r w:rsidR="005553F4">
        <w:rPr>
          <w:rFonts w:ascii="Cambria" w:hAnsi="Cambria" w:cs="Arial"/>
          <w:lang w:val="en-GB"/>
        </w:rPr>
        <w:t>esco Utility</w:t>
      </w:r>
      <w:r w:rsidRPr="00BF0E9D">
        <w:rPr>
          <w:rFonts w:ascii="Cambria" w:hAnsi="Cambria" w:cs="Arial"/>
          <w:lang w:val="en-GB"/>
        </w:rPr>
        <w:t xml:space="preserve"> (</w:t>
      </w:r>
      <w:r w:rsidR="00C54E8E">
        <w:rPr>
          <w:rFonts w:ascii="Cambria" w:hAnsi="Cambria" w:cs="Arial"/>
          <w:lang w:val="en-GB"/>
        </w:rPr>
        <w:t>N</w:t>
      </w:r>
      <w:r w:rsidR="00CA52CC" w:rsidRPr="00BF0E9D">
        <w:rPr>
          <w:rFonts w:ascii="Cambria" w:hAnsi="Cambria" w:cs="Arial"/>
          <w:lang w:val="en-GB"/>
        </w:rPr>
        <w:t>ESCO</w:t>
      </w:r>
      <w:r w:rsidRPr="00BF0E9D">
        <w:rPr>
          <w:rFonts w:ascii="Cambria" w:hAnsi="Cambria" w:cs="Arial"/>
          <w:lang w:val="en-GB"/>
        </w:rPr>
        <w:t xml:space="preserve">), </w:t>
      </w:r>
      <w:r w:rsidR="005553F4">
        <w:rPr>
          <w:rFonts w:ascii="Cambria" w:hAnsi="Cambria" w:cs="Arial"/>
          <w:lang w:val="en-GB"/>
        </w:rPr>
        <w:t>HQ</w:t>
      </w:r>
      <w:r w:rsidRPr="00BF0E9D">
        <w:rPr>
          <w:rFonts w:ascii="Cambria" w:hAnsi="Cambria" w:cs="Arial"/>
          <w:lang w:val="en-GB"/>
        </w:rPr>
        <w:t>. Office-</w:t>
      </w:r>
      <w:r w:rsidR="00C54E8E">
        <w:rPr>
          <w:rFonts w:ascii="Cambria" w:hAnsi="Cambria" w:cs="Arial"/>
          <w:lang w:val="en-GB"/>
        </w:rPr>
        <w:t>Januganj</w:t>
      </w:r>
      <w:r w:rsidRPr="00BF0E9D">
        <w:rPr>
          <w:rFonts w:ascii="Cambria" w:hAnsi="Cambria" w:cs="Arial"/>
          <w:lang w:val="en-GB"/>
        </w:rPr>
        <w:t xml:space="preserve">, </w:t>
      </w:r>
      <w:r w:rsidR="00C54E8E">
        <w:rPr>
          <w:rFonts w:ascii="Cambria" w:hAnsi="Cambria" w:cs="Arial"/>
          <w:lang w:val="en-GB"/>
        </w:rPr>
        <w:t>Balasore,</w:t>
      </w:r>
      <w:r w:rsidRPr="00BF0E9D">
        <w:rPr>
          <w:rFonts w:ascii="Cambria" w:hAnsi="Cambria" w:cs="Arial"/>
          <w:lang w:val="en-GB"/>
        </w:rPr>
        <w:t xml:space="preserve"> </w:t>
      </w:r>
      <w:r w:rsidR="005553F4">
        <w:rPr>
          <w:rFonts w:ascii="Cambria" w:hAnsi="Cambria" w:cs="Arial"/>
          <w:lang w:val="en-GB"/>
        </w:rPr>
        <w:t>Odisha</w:t>
      </w:r>
      <w:r w:rsidRPr="00BF0E9D">
        <w:rPr>
          <w:rFonts w:ascii="Cambria" w:hAnsi="Cambria" w:cs="Arial"/>
          <w:lang w:val="en-GB"/>
        </w:rPr>
        <w:t>-7</w:t>
      </w:r>
      <w:r w:rsidR="00C54E8E">
        <w:rPr>
          <w:rFonts w:ascii="Cambria" w:hAnsi="Cambria" w:cs="Arial"/>
          <w:lang w:val="en-GB"/>
        </w:rPr>
        <w:t>5</w:t>
      </w:r>
      <w:r w:rsidR="005553F4">
        <w:rPr>
          <w:rFonts w:ascii="Cambria" w:hAnsi="Cambria" w:cs="Arial"/>
          <w:lang w:val="en-GB"/>
        </w:rPr>
        <w:t>6</w:t>
      </w:r>
      <w:r w:rsidR="00C54E8E">
        <w:rPr>
          <w:rFonts w:ascii="Cambria" w:hAnsi="Cambria" w:cs="Arial"/>
          <w:lang w:val="en-GB"/>
        </w:rPr>
        <w:t>019</w:t>
      </w:r>
      <w:r w:rsidRPr="00BF0E9D">
        <w:rPr>
          <w:rFonts w:ascii="Cambria" w:hAnsi="Cambria" w:cs="Arial"/>
          <w:lang w:val="en-GB"/>
        </w:rPr>
        <w:t>.</w:t>
      </w:r>
    </w:p>
    <w:p w:rsidR="00BF47FD" w:rsidRPr="00BF0E9D" w:rsidRDefault="00BF47FD" w:rsidP="00B91F1C">
      <w:pPr>
        <w:autoSpaceDE w:val="0"/>
        <w:autoSpaceDN w:val="0"/>
        <w:adjustRightInd w:val="0"/>
        <w:spacing w:line="360" w:lineRule="auto"/>
        <w:ind w:left="-90"/>
        <w:jc w:val="both"/>
        <w:rPr>
          <w:rFonts w:ascii="Cambria" w:hAnsi="Cambria" w:cs="Arial"/>
          <w:sz w:val="16"/>
          <w:szCs w:val="16"/>
          <w:lang w:val="en-GB"/>
        </w:rPr>
      </w:pPr>
    </w:p>
    <w:p w:rsidR="00BF47FD" w:rsidRPr="00BF0E9D" w:rsidRDefault="00BF47FD" w:rsidP="00B91F1C">
      <w:pPr>
        <w:autoSpaceDE w:val="0"/>
        <w:autoSpaceDN w:val="0"/>
        <w:adjustRightInd w:val="0"/>
        <w:spacing w:line="360" w:lineRule="auto"/>
        <w:ind w:left="-90"/>
        <w:jc w:val="both"/>
        <w:rPr>
          <w:rFonts w:ascii="Cambria" w:hAnsi="Cambria" w:cs="Arial"/>
          <w:lang w:val="en-GB"/>
        </w:rPr>
      </w:pPr>
      <w:r w:rsidRPr="00BF0E9D">
        <w:rPr>
          <w:rFonts w:ascii="Cambria" w:hAnsi="Cambria" w:cs="Arial"/>
          <w:lang w:val="en-GB"/>
        </w:rPr>
        <w:t>The statements made above along with the annexures annexed to this application are true to the best of my knowledge and the statements made are based on information and records and</w:t>
      </w:r>
      <w:r w:rsidR="00912E72" w:rsidRPr="00BF0E9D">
        <w:rPr>
          <w:rFonts w:ascii="Cambria" w:hAnsi="Cambria" w:cs="Arial"/>
          <w:lang w:val="en-GB"/>
        </w:rPr>
        <w:t xml:space="preserve"> </w:t>
      </w:r>
      <w:r w:rsidRPr="00BF0E9D">
        <w:rPr>
          <w:rFonts w:ascii="Cambria" w:hAnsi="Cambria" w:cs="Arial"/>
          <w:lang w:val="en-GB"/>
        </w:rPr>
        <w:t>I believe them to be true.</w:t>
      </w:r>
    </w:p>
    <w:p w:rsidR="00BF47FD" w:rsidRPr="00BF0E9D" w:rsidRDefault="00BF47FD" w:rsidP="00B91F1C">
      <w:pPr>
        <w:autoSpaceDE w:val="0"/>
        <w:autoSpaceDN w:val="0"/>
        <w:adjustRightInd w:val="0"/>
        <w:spacing w:line="360" w:lineRule="auto"/>
        <w:ind w:left="-90"/>
        <w:jc w:val="both"/>
        <w:rPr>
          <w:rFonts w:ascii="Cambria" w:hAnsi="Cambria" w:cs="Arial"/>
        </w:rPr>
      </w:pPr>
    </w:p>
    <w:p w:rsidR="00BF47FD" w:rsidRPr="00BF0E9D" w:rsidRDefault="00BF47FD" w:rsidP="00B91F1C">
      <w:pPr>
        <w:autoSpaceDE w:val="0"/>
        <w:autoSpaceDN w:val="0"/>
        <w:adjustRightInd w:val="0"/>
        <w:spacing w:line="360" w:lineRule="auto"/>
        <w:ind w:left="-90"/>
        <w:jc w:val="both"/>
        <w:rPr>
          <w:rFonts w:ascii="Cambria" w:hAnsi="Cambria" w:cs="Arial"/>
        </w:rPr>
      </w:pPr>
    </w:p>
    <w:p w:rsidR="005B173E" w:rsidRDefault="005B173E" w:rsidP="00B91F1C">
      <w:pPr>
        <w:autoSpaceDE w:val="0"/>
        <w:autoSpaceDN w:val="0"/>
        <w:adjustRightInd w:val="0"/>
        <w:spacing w:line="360" w:lineRule="auto"/>
        <w:ind w:left="-90"/>
        <w:jc w:val="both"/>
        <w:rPr>
          <w:rFonts w:ascii="Cambria" w:hAnsi="Cambria" w:cs="Arial"/>
        </w:rPr>
      </w:pPr>
    </w:p>
    <w:p w:rsidR="005B173E" w:rsidRDefault="003B1A30" w:rsidP="00B91F1C">
      <w:pPr>
        <w:autoSpaceDE w:val="0"/>
        <w:autoSpaceDN w:val="0"/>
        <w:adjustRightInd w:val="0"/>
        <w:spacing w:line="360" w:lineRule="auto"/>
        <w:ind w:left="-90"/>
        <w:jc w:val="both"/>
        <w:rPr>
          <w:rFonts w:ascii="Cambria" w:hAnsi="Cambria" w:cs="Arial"/>
        </w:rPr>
      </w:pPr>
      <w:r>
        <w:rPr>
          <w:rFonts w:ascii="Cambria" w:hAnsi="Cambria" w:cs="Arial"/>
        </w:rPr>
        <w:t>Place</w:t>
      </w:r>
      <w:r w:rsidR="005B173E">
        <w:rPr>
          <w:rFonts w:ascii="Cambria" w:hAnsi="Cambria" w:cs="Arial"/>
        </w:rPr>
        <w:t>:</w:t>
      </w:r>
      <w:r w:rsidR="002B5639">
        <w:rPr>
          <w:rFonts w:ascii="Cambria" w:hAnsi="Cambria" w:cs="Arial"/>
        </w:rPr>
        <w:t>Balasore</w:t>
      </w:r>
      <w:r w:rsidR="002B5639">
        <w:rPr>
          <w:rFonts w:ascii="Cambria" w:hAnsi="Cambria" w:cs="Arial"/>
        </w:rPr>
        <w:tab/>
      </w:r>
      <w:r w:rsidR="005B173E">
        <w:rPr>
          <w:rFonts w:ascii="Cambria" w:hAnsi="Cambria" w:cs="Arial"/>
        </w:rPr>
        <w:tab/>
      </w:r>
      <w:r w:rsidR="005B173E">
        <w:rPr>
          <w:rFonts w:ascii="Cambria" w:hAnsi="Cambria" w:cs="Arial"/>
        </w:rPr>
        <w:tab/>
      </w:r>
      <w:r w:rsidR="005B173E">
        <w:rPr>
          <w:rFonts w:ascii="Cambria" w:hAnsi="Cambria" w:cs="Arial"/>
        </w:rPr>
        <w:tab/>
      </w:r>
      <w:r w:rsidR="005B173E">
        <w:rPr>
          <w:rFonts w:ascii="Cambria" w:hAnsi="Cambria" w:cs="Arial"/>
        </w:rPr>
        <w:tab/>
      </w:r>
      <w:r w:rsidR="005B173E">
        <w:rPr>
          <w:rFonts w:ascii="Cambria" w:hAnsi="Cambria" w:cs="Arial"/>
        </w:rPr>
        <w:tab/>
      </w:r>
      <w:r w:rsidR="005B173E">
        <w:rPr>
          <w:rFonts w:ascii="Cambria" w:hAnsi="Cambria" w:cs="Arial"/>
        </w:rPr>
        <w:tab/>
      </w:r>
      <w:r w:rsidR="005B173E">
        <w:rPr>
          <w:rFonts w:ascii="Cambria" w:hAnsi="Cambria" w:cs="Arial"/>
        </w:rPr>
        <w:tab/>
      </w:r>
      <w:r w:rsidR="005B173E" w:rsidRPr="00BF0E9D">
        <w:rPr>
          <w:rFonts w:ascii="Cambria" w:hAnsi="Cambria" w:cs="Arial"/>
          <w:b/>
        </w:rPr>
        <w:t>DEPONENT</w:t>
      </w:r>
    </w:p>
    <w:p w:rsidR="00912E72" w:rsidRPr="00BF0E9D" w:rsidRDefault="00912E72" w:rsidP="005B173E">
      <w:pPr>
        <w:autoSpaceDE w:val="0"/>
        <w:autoSpaceDN w:val="0"/>
        <w:adjustRightInd w:val="0"/>
        <w:spacing w:line="360" w:lineRule="auto"/>
        <w:ind w:left="-90"/>
        <w:jc w:val="both"/>
        <w:rPr>
          <w:rFonts w:ascii="Cambria" w:hAnsi="Cambria" w:cs="Arial"/>
          <w:b/>
        </w:rPr>
      </w:pPr>
      <w:r w:rsidRPr="00BF0E9D">
        <w:rPr>
          <w:rFonts w:ascii="Cambria" w:hAnsi="Cambria" w:cs="Arial"/>
        </w:rPr>
        <w:t>Date</w:t>
      </w:r>
      <w:r w:rsidR="005B173E">
        <w:rPr>
          <w:rFonts w:ascii="Cambria" w:hAnsi="Cambria" w:cs="Arial"/>
        </w:rPr>
        <w:t xml:space="preserve">: </w:t>
      </w:r>
      <w:r w:rsidR="002B5639">
        <w:rPr>
          <w:rFonts w:ascii="Cambria" w:hAnsi="Cambria" w:cs="Arial"/>
        </w:rPr>
        <w:t>28</w:t>
      </w:r>
      <w:r w:rsidR="002F4A0A">
        <w:rPr>
          <w:rFonts w:ascii="Cambria" w:hAnsi="Cambria" w:cs="Arial"/>
        </w:rPr>
        <w:t>.11.2019</w:t>
      </w:r>
      <w:r w:rsidRPr="00BF0E9D">
        <w:rPr>
          <w:rFonts w:ascii="Cambria" w:hAnsi="Cambria" w:cs="Arial"/>
        </w:rPr>
        <w:t xml:space="preserve"> </w:t>
      </w:r>
      <w:r w:rsidR="00C04372">
        <w:rPr>
          <w:rFonts w:ascii="Cambria" w:hAnsi="Cambria" w:cs="Arial"/>
        </w:rPr>
        <w:tab/>
      </w:r>
      <w:r w:rsidR="00C04372">
        <w:rPr>
          <w:rFonts w:ascii="Cambria" w:hAnsi="Cambria" w:cs="Arial"/>
        </w:rPr>
        <w:tab/>
      </w:r>
      <w:r w:rsidR="00C04372">
        <w:rPr>
          <w:rFonts w:ascii="Cambria" w:hAnsi="Cambria" w:cs="Arial"/>
        </w:rPr>
        <w:tab/>
      </w:r>
      <w:r w:rsidRPr="00BF0E9D">
        <w:rPr>
          <w:rFonts w:ascii="Cambria" w:hAnsi="Cambria" w:cs="Arial"/>
        </w:rPr>
        <w:tab/>
      </w:r>
      <w:r w:rsidRPr="00BF0E9D">
        <w:rPr>
          <w:rFonts w:ascii="Cambria" w:hAnsi="Cambria" w:cs="Arial"/>
        </w:rPr>
        <w:tab/>
      </w:r>
      <w:r w:rsidRPr="00BF0E9D">
        <w:rPr>
          <w:rFonts w:ascii="Cambria" w:hAnsi="Cambria" w:cs="Arial"/>
        </w:rPr>
        <w:tab/>
      </w:r>
      <w:r w:rsidR="003D2AC4">
        <w:rPr>
          <w:rFonts w:ascii="Cambria" w:hAnsi="Cambria" w:cs="Arial"/>
          <w:b/>
        </w:rPr>
        <w:t>Authorised Officer</w:t>
      </w:r>
      <w:r w:rsidRPr="00BF0E9D">
        <w:rPr>
          <w:rFonts w:ascii="Cambria" w:hAnsi="Cambria" w:cs="Arial"/>
          <w:b/>
        </w:rPr>
        <w:t>,</w:t>
      </w:r>
      <w:r w:rsidR="00AA4FBB" w:rsidRPr="00BF0E9D">
        <w:rPr>
          <w:rFonts w:ascii="Cambria" w:hAnsi="Cambria" w:cs="Arial"/>
          <w:b/>
        </w:rPr>
        <w:t xml:space="preserve"> </w:t>
      </w:r>
      <w:r w:rsidR="00C54E8E">
        <w:rPr>
          <w:rFonts w:ascii="Cambria" w:hAnsi="Cambria" w:cs="Arial"/>
          <w:b/>
        </w:rPr>
        <w:t>N</w:t>
      </w:r>
      <w:r w:rsidR="00CA52CC" w:rsidRPr="00BF0E9D">
        <w:rPr>
          <w:rFonts w:ascii="Cambria" w:hAnsi="Cambria" w:cs="Arial"/>
          <w:b/>
        </w:rPr>
        <w:t>ESCO</w:t>
      </w:r>
    </w:p>
    <w:p w:rsidR="00E5394A" w:rsidRPr="00BF0E9D" w:rsidRDefault="00DE3BDD" w:rsidP="00B91F1C">
      <w:pPr>
        <w:spacing w:line="360" w:lineRule="auto"/>
        <w:jc w:val="both"/>
        <w:rPr>
          <w:rFonts w:ascii="Cambria" w:hAnsi="Cambria" w:cs="Arial"/>
          <w:b/>
        </w:rPr>
      </w:pPr>
      <w:r w:rsidRPr="00BF0E9D">
        <w:rPr>
          <w:rFonts w:ascii="Cambria" w:hAnsi="Cambria" w:cs="Arial"/>
        </w:rPr>
        <w:br w:type="page"/>
      </w:r>
      <w:r w:rsidR="009F3779" w:rsidRPr="00BF0E9D">
        <w:rPr>
          <w:rFonts w:ascii="Cambria" w:hAnsi="Cambria" w:cs="Arial"/>
        </w:rPr>
        <w:lastRenderedPageBreak/>
        <w:tab/>
      </w:r>
      <w:r w:rsidR="009F3779" w:rsidRPr="00BF0E9D">
        <w:rPr>
          <w:rFonts w:ascii="Cambria" w:hAnsi="Cambria" w:cs="Arial"/>
        </w:rPr>
        <w:tab/>
      </w:r>
      <w:r w:rsidR="009F3779" w:rsidRPr="00BF0E9D">
        <w:rPr>
          <w:rFonts w:ascii="Cambria" w:hAnsi="Cambria" w:cs="Arial"/>
        </w:rPr>
        <w:tab/>
      </w:r>
      <w:r w:rsidR="009F3779" w:rsidRPr="00BF0E9D">
        <w:rPr>
          <w:rFonts w:ascii="Cambria" w:hAnsi="Cambria" w:cs="Arial"/>
        </w:rPr>
        <w:tab/>
      </w:r>
      <w:r w:rsidR="009F3779" w:rsidRPr="00BF0E9D">
        <w:rPr>
          <w:rFonts w:ascii="Cambria" w:hAnsi="Cambria" w:cs="Arial"/>
          <w:b/>
        </w:rPr>
        <w:t>Table of Contents</w:t>
      </w:r>
    </w:p>
    <w:p w:rsidR="00FE223B" w:rsidRDefault="00807242">
      <w:pPr>
        <w:pStyle w:val="TOC1"/>
        <w:tabs>
          <w:tab w:val="left" w:pos="480"/>
          <w:tab w:val="right" w:leader="dot" w:pos="9200"/>
        </w:tabs>
        <w:rPr>
          <w:rFonts w:asciiTheme="minorHAnsi" w:eastAsiaTheme="minorEastAsia" w:hAnsiTheme="minorHAnsi" w:cstheme="minorBidi"/>
          <w:noProof/>
          <w:sz w:val="22"/>
          <w:szCs w:val="22"/>
        </w:rPr>
      </w:pPr>
      <w:r w:rsidRPr="00807242">
        <w:rPr>
          <w:rFonts w:ascii="Cambria" w:hAnsi="Cambria" w:cs="Arial"/>
          <w:color w:val="0000FF"/>
          <w:u w:val="single"/>
        </w:rPr>
        <w:fldChar w:fldCharType="begin"/>
      </w:r>
      <w:r w:rsidR="00FB208C" w:rsidRPr="00BF0E9D">
        <w:rPr>
          <w:rFonts w:ascii="Cambria" w:hAnsi="Cambria" w:cs="Arial"/>
          <w:highlight w:val="yellow"/>
        </w:rPr>
        <w:instrText xml:space="preserve"> TOC \o "1-4" \h \z \u </w:instrText>
      </w:r>
      <w:r w:rsidRPr="00807242">
        <w:rPr>
          <w:rFonts w:ascii="Cambria" w:hAnsi="Cambria" w:cs="Arial"/>
          <w:color w:val="0000FF"/>
          <w:u w:val="single"/>
        </w:rPr>
        <w:fldChar w:fldCharType="separate"/>
      </w:r>
      <w:hyperlink w:anchor="_Toc25850905" w:history="1">
        <w:r w:rsidR="00FE223B" w:rsidRPr="00FC7066">
          <w:rPr>
            <w:rStyle w:val="Hyperlink"/>
            <w:rFonts w:ascii="Cambria" w:hAnsi="Cambria"/>
            <w:noProof/>
          </w:rPr>
          <w:t>1.</w:t>
        </w:r>
        <w:r w:rsidR="00FE223B">
          <w:rPr>
            <w:rFonts w:asciiTheme="minorHAnsi" w:eastAsiaTheme="minorEastAsia" w:hAnsiTheme="minorHAnsi" w:cstheme="minorBidi"/>
            <w:noProof/>
            <w:sz w:val="22"/>
            <w:szCs w:val="22"/>
          </w:rPr>
          <w:tab/>
        </w:r>
        <w:r w:rsidR="00FE223B" w:rsidRPr="00FC7066">
          <w:rPr>
            <w:rStyle w:val="Hyperlink"/>
            <w:rFonts w:ascii="Cambria" w:hAnsi="Cambria"/>
            <w:noProof/>
          </w:rPr>
          <w:t>Executive Summary</w:t>
        </w:r>
        <w:r w:rsidR="00FE223B">
          <w:rPr>
            <w:noProof/>
            <w:webHidden/>
          </w:rPr>
          <w:tab/>
        </w:r>
        <w:r w:rsidR="00FE223B">
          <w:rPr>
            <w:noProof/>
            <w:webHidden/>
          </w:rPr>
          <w:fldChar w:fldCharType="begin"/>
        </w:r>
        <w:r w:rsidR="00FE223B">
          <w:rPr>
            <w:noProof/>
            <w:webHidden/>
          </w:rPr>
          <w:instrText xml:space="preserve"> PAGEREF _Toc25850905 \h </w:instrText>
        </w:r>
        <w:r w:rsidR="00FE223B">
          <w:rPr>
            <w:noProof/>
            <w:webHidden/>
          </w:rPr>
        </w:r>
        <w:r w:rsidR="00FE223B">
          <w:rPr>
            <w:noProof/>
            <w:webHidden/>
          </w:rPr>
          <w:fldChar w:fldCharType="separate"/>
        </w:r>
        <w:r w:rsidR="00E011DF">
          <w:rPr>
            <w:noProof/>
            <w:webHidden/>
          </w:rPr>
          <w:t>5</w:t>
        </w:r>
        <w:r w:rsidR="00FE223B">
          <w:rPr>
            <w:noProof/>
            <w:webHidden/>
          </w:rPr>
          <w:fldChar w:fldCharType="end"/>
        </w:r>
      </w:hyperlink>
    </w:p>
    <w:p w:rsidR="00FE223B" w:rsidRDefault="00FE223B">
      <w:pPr>
        <w:pStyle w:val="TOC1"/>
        <w:tabs>
          <w:tab w:val="left" w:pos="480"/>
          <w:tab w:val="right" w:leader="dot" w:pos="9200"/>
        </w:tabs>
        <w:rPr>
          <w:rFonts w:asciiTheme="minorHAnsi" w:eastAsiaTheme="minorEastAsia" w:hAnsiTheme="minorHAnsi" w:cstheme="minorBidi"/>
          <w:noProof/>
          <w:sz w:val="22"/>
          <w:szCs w:val="22"/>
        </w:rPr>
      </w:pPr>
      <w:hyperlink w:anchor="_Toc25850906" w:history="1">
        <w:r w:rsidRPr="00FC7066">
          <w:rPr>
            <w:rStyle w:val="Hyperlink"/>
            <w:rFonts w:ascii="Cambria" w:hAnsi="Cambria"/>
            <w:noProof/>
          </w:rPr>
          <w:t>2.</w:t>
        </w:r>
        <w:r>
          <w:rPr>
            <w:rFonts w:asciiTheme="minorHAnsi" w:eastAsiaTheme="minorEastAsia" w:hAnsiTheme="minorHAnsi" w:cstheme="minorBidi"/>
            <w:noProof/>
            <w:sz w:val="22"/>
            <w:szCs w:val="22"/>
          </w:rPr>
          <w:tab/>
        </w:r>
        <w:r w:rsidRPr="00FC7066">
          <w:rPr>
            <w:rStyle w:val="Hyperlink"/>
            <w:rFonts w:ascii="Cambria" w:hAnsi="Cambria"/>
            <w:noProof/>
          </w:rPr>
          <w:t>Revenue Requirement for FY 2020-21</w:t>
        </w:r>
        <w:r>
          <w:rPr>
            <w:noProof/>
            <w:webHidden/>
          </w:rPr>
          <w:tab/>
        </w:r>
        <w:r>
          <w:rPr>
            <w:noProof/>
            <w:webHidden/>
          </w:rPr>
          <w:fldChar w:fldCharType="begin"/>
        </w:r>
        <w:r>
          <w:rPr>
            <w:noProof/>
            <w:webHidden/>
          </w:rPr>
          <w:instrText xml:space="preserve"> PAGEREF _Toc25850906 \h </w:instrText>
        </w:r>
        <w:r>
          <w:rPr>
            <w:noProof/>
            <w:webHidden/>
          </w:rPr>
        </w:r>
        <w:r>
          <w:rPr>
            <w:noProof/>
            <w:webHidden/>
          </w:rPr>
          <w:fldChar w:fldCharType="separate"/>
        </w:r>
        <w:r w:rsidR="00E011DF">
          <w:rPr>
            <w:noProof/>
            <w:webHidden/>
          </w:rPr>
          <w:t>9</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07" w:history="1">
        <w:r w:rsidRPr="00FC7066">
          <w:rPr>
            <w:rStyle w:val="Hyperlink"/>
            <w:rFonts w:ascii="Cambria" w:hAnsi="Cambria"/>
            <w:noProof/>
          </w:rPr>
          <w:t>2.1.</w:t>
        </w:r>
        <w:r>
          <w:rPr>
            <w:rFonts w:asciiTheme="minorHAnsi" w:eastAsiaTheme="minorEastAsia" w:hAnsiTheme="minorHAnsi" w:cstheme="minorBidi"/>
            <w:noProof/>
            <w:sz w:val="22"/>
            <w:szCs w:val="22"/>
          </w:rPr>
          <w:tab/>
        </w:r>
        <w:r w:rsidRPr="00FC7066">
          <w:rPr>
            <w:rStyle w:val="Hyperlink"/>
            <w:rFonts w:ascii="Cambria" w:hAnsi="Cambria"/>
            <w:noProof/>
          </w:rPr>
          <w:t>Data Sources</w:t>
        </w:r>
        <w:r>
          <w:rPr>
            <w:noProof/>
            <w:webHidden/>
          </w:rPr>
          <w:tab/>
        </w:r>
        <w:r>
          <w:rPr>
            <w:noProof/>
            <w:webHidden/>
          </w:rPr>
          <w:fldChar w:fldCharType="begin"/>
        </w:r>
        <w:r>
          <w:rPr>
            <w:noProof/>
            <w:webHidden/>
          </w:rPr>
          <w:instrText xml:space="preserve"> PAGEREF _Toc25850907 \h </w:instrText>
        </w:r>
        <w:r>
          <w:rPr>
            <w:noProof/>
            <w:webHidden/>
          </w:rPr>
        </w:r>
        <w:r>
          <w:rPr>
            <w:noProof/>
            <w:webHidden/>
          </w:rPr>
          <w:fldChar w:fldCharType="separate"/>
        </w:r>
        <w:r w:rsidR="00E011DF">
          <w:rPr>
            <w:noProof/>
            <w:webHidden/>
          </w:rPr>
          <w:t>10</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08" w:history="1">
        <w:r w:rsidRPr="00FC7066">
          <w:rPr>
            <w:rStyle w:val="Hyperlink"/>
            <w:rFonts w:ascii="Cambria" w:hAnsi="Cambria"/>
            <w:noProof/>
          </w:rPr>
          <w:t>2.2.</w:t>
        </w:r>
        <w:r>
          <w:rPr>
            <w:rFonts w:asciiTheme="minorHAnsi" w:eastAsiaTheme="minorEastAsia" w:hAnsiTheme="minorHAnsi" w:cstheme="minorBidi"/>
            <w:noProof/>
            <w:sz w:val="22"/>
            <w:szCs w:val="22"/>
          </w:rPr>
          <w:tab/>
        </w:r>
        <w:r w:rsidRPr="00FC7066">
          <w:rPr>
            <w:rStyle w:val="Hyperlink"/>
            <w:rFonts w:ascii="Cambria" w:hAnsi="Cambria"/>
            <w:noProof/>
          </w:rPr>
          <w:t>Sales Forecast</w:t>
        </w:r>
        <w:r>
          <w:rPr>
            <w:noProof/>
            <w:webHidden/>
          </w:rPr>
          <w:tab/>
        </w:r>
        <w:r>
          <w:rPr>
            <w:noProof/>
            <w:webHidden/>
          </w:rPr>
          <w:fldChar w:fldCharType="begin"/>
        </w:r>
        <w:r>
          <w:rPr>
            <w:noProof/>
            <w:webHidden/>
          </w:rPr>
          <w:instrText xml:space="preserve"> PAGEREF _Toc25850908 \h </w:instrText>
        </w:r>
        <w:r>
          <w:rPr>
            <w:noProof/>
            <w:webHidden/>
          </w:rPr>
        </w:r>
        <w:r>
          <w:rPr>
            <w:noProof/>
            <w:webHidden/>
          </w:rPr>
          <w:fldChar w:fldCharType="separate"/>
        </w:r>
        <w:r w:rsidR="00E011DF">
          <w:rPr>
            <w:noProof/>
            <w:webHidden/>
          </w:rPr>
          <w:t>11</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09" w:history="1">
        <w:r w:rsidRPr="00FC7066">
          <w:rPr>
            <w:rStyle w:val="Hyperlink"/>
            <w:rFonts w:ascii="Cambria" w:hAnsi="Cambria"/>
            <w:noProof/>
          </w:rPr>
          <w:t>2.3.</w:t>
        </w:r>
        <w:r>
          <w:rPr>
            <w:rFonts w:asciiTheme="minorHAnsi" w:eastAsiaTheme="minorEastAsia" w:hAnsiTheme="minorHAnsi" w:cstheme="minorBidi"/>
            <w:noProof/>
            <w:sz w:val="22"/>
            <w:szCs w:val="22"/>
          </w:rPr>
          <w:tab/>
        </w:r>
        <w:r w:rsidRPr="00FC7066">
          <w:rPr>
            <w:rStyle w:val="Hyperlink"/>
            <w:rFonts w:ascii="Cambria" w:hAnsi="Cambria"/>
            <w:noProof/>
          </w:rPr>
          <w:t>Power Purchase Expenses</w:t>
        </w:r>
        <w:r>
          <w:rPr>
            <w:noProof/>
            <w:webHidden/>
          </w:rPr>
          <w:tab/>
        </w:r>
        <w:r>
          <w:rPr>
            <w:noProof/>
            <w:webHidden/>
          </w:rPr>
          <w:fldChar w:fldCharType="begin"/>
        </w:r>
        <w:r>
          <w:rPr>
            <w:noProof/>
            <w:webHidden/>
          </w:rPr>
          <w:instrText xml:space="preserve"> PAGEREF _Toc25850909 \h </w:instrText>
        </w:r>
        <w:r>
          <w:rPr>
            <w:noProof/>
            <w:webHidden/>
          </w:rPr>
        </w:r>
        <w:r>
          <w:rPr>
            <w:noProof/>
            <w:webHidden/>
          </w:rPr>
          <w:fldChar w:fldCharType="separate"/>
        </w:r>
        <w:r w:rsidR="00E011DF">
          <w:rPr>
            <w:noProof/>
            <w:webHidden/>
          </w:rPr>
          <w:t>13</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10" w:history="1">
        <w:r w:rsidRPr="00FC7066">
          <w:rPr>
            <w:rStyle w:val="Hyperlink"/>
            <w:rFonts w:ascii="Cambria" w:hAnsi="Cambria"/>
            <w:noProof/>
          </w:rPr>
          <w:t>2.4.</w:t>
        </w:r>
        <w:r>
          <w:rPr>
            <w:rFonts w:asciiTheme="minorHAnsi" w:eastAsiaTheme="minorEastAsia" w:hAnsiTheme="minorHAnsi" w:cstheme="minorBidi"/>
            <w:noProof/>
            <w:sz w:val="22"/>
            <w:szCs w:val="22"/>
          </w:rPr>
          <w:tab/>
        </w:r>
        <w:r w:rsidRPr="00FC7066">
          <w:rPr>
            <w:rStyle w:val="Hyperlink"/>
            <w:rFonts w:ascii="Cambria" w:hAnsi="Cambria"/>
            <w:noProof/>
          </w:rPr>
          <w:t>Employees Expenses</w:t>
        </w:r>
        <w:r>
          <w:rPr>
            <w:noProof/>
            <w:webHidden/>
          </w:rPr>
          <w:tab/>
        </w:r>
        <w:r>
          <w:rPr>
            <w:noProof/>
            <w:webHidden/>
          </w:rPr>
          <w:fldChar w:fldCharType="begin"/>
        </w:r>
        <w:r>
          <w:rPr>
            <w:noProof/>
            <w:webHidden/>
          </w:rPr>
          <w:instrText xml:space="preserve"> PAGEREF _Toc25850910 \h </w:instrText>
        </w:r>
        <w:r>
          <w:rPr>
            <w:noProof/>
            <w:webHidden/>
          </w:rPr>
        </w:r>
        <w:r>
          <w:rPr>
            <w:noProof/>
            <w:webHidden/>
          </w:rPr>
          <w:fldChar w:fldCharType="separate"/>
        </w:r>
        <w:r w:rsidR="00E011DF">
          <w:rPr>
            <w:noProof/>
            <w:webHidden/>
          </w:rPr>
          <w:t>14</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11" w:history="1">
        <w:r w:rsidRPr="00FC7066">
          <w:rPr>
            <w:rStyle w:val="Hyperlink"/>
            <w:rFonts w:ascii="Cambria" w:hAnsi="Cambria"/>
            <w:noProof/>
          </w:rPr>
          <w:t>2.5.</w:t>
        </w:r>
        <w:r>
          <w:rPr>
            <w:rFonts w:asciiTheme="minorHAnsi" w:eastAsiaTheme="minorEastAsia" w:hAnsiTheme="minorHAnsi" w:cstheme="minorBidi"/>
            <w:noProof/>
            <w:sz w:val="22"/>
            <w:szCs w:val="22"/>
          </w:rPr>
          <w:tab/>
        </w:r>
        <w:r w:rsidRPr="00FC7066">
          <w:rPr>
            <w:rStyle w:val="Hyperlink"/>
            <w:rFonts w:ascii="Cambria" w:hAnsi="Cambria"/>
            <w:noProof/>
          </w:rPr>
          <w:t>Administrative and General Expenses</w:t>
        </w:r>
        <w:r>
          <w:rPr>
            <w:noProof/>
            <w:webHidden/>
          </w:rPr>
          <w:tab/>
        </w:r>
        <w:r>
          <w:rPr>
            <w:noProof/>
            <w:webHidden/>
          </w:rPr>
          <w:fldChar w:fldCharType="begin"/>
        </w:r>
        <w:r>
          <w:rPr>
            <w:noProof/>
            <w:webHidden/>
          </w:rPr>
          <w:instrText xml:space="preserve"> PAGEREF _Toc25850911 \h </w:instrText>
        </w:r>
        <w:r>
          <w:rPr>
            <w:noProof/>
            <w:webHidden/>
          </w:rPr>
        </w:r>
        <w:r>
          <w:rPr>
            <w:noProof/>
            <w:webHidden/>
          </w:rPr>
          <w:fldChar w:fldCharType="separate"/>
        </w:r>
        <w:r w:rsidR="00E011DF">
          <w:rPr>
            <w:noProof/>
            <w:webHidden/>
          </w:rPr>
          <w:t>17</w:t>
        </w:r>
        <w:r>
          <w:rPr>
            <w:noProof/>
            <w:webHidden/>
          </w:rPr>
          <w:fldChar w:fldCharType="end"/>
        </w:r>
      </w:hyperlink>
    </w:p>
    <w:p w:rsidR="00FE223B" w:rsidRDefault="00FE223B">
      <w:pPr>
        <w:pStyle w:val="TOC1"/>
        <w:tabs>
          <w:tab w:val="left" w:pos="880"/>
          <w:tab w:val="right" w:leader="dot" w:pos="9200"/>
        </w:tabs>
        <w:rPr>
          <w:rFonts w:asciiTheme="minorHAnsi" w:eastAsiaTheme="minorEastAsia" w:hAnsiTheme="minorHAnsi" w:cstheme="minorBidi"/>
          <w:noProof/>
          <w:sz w:val="22"/>
          <w:szCs w:val="22"/>
        </w:rPr>
      </w:pPr>
      <w:hyperlink w:anchor="_Toc25850912" w:history="1">
        <w:r w:rsidRPr="00FC7066">
          <w:rPr>
            <w:rStyle w:val="Hyperlink"/>
            <w:rFonts w:ascii="Cambria" w:hAnsi="Cambria"/>
            <w:noProof/>
          </w:rPr>
          <w:t>2.5.1.</w:t>
        </w:r>
        <w:r>
          <w:rPr>
            <w:rFonts w:asciiTheme="minorHAnsi" w:eastAsiaTheme="minorEastAsia" w:hAnsiTheme="minorHAnsi" w:cstheme="minorBidi"/>
            <w:noProof/>
            <w:sz w:val="22"/>
            <w:szCs w:val="22"/>
          </w:rPr>
          <w:tab/>
        </w:r>
        <w:r w:rsidRPr="00FC7066">
          <w:rPr>
            <w:rStyle w:val="Hyperlink"/>
            <w:rFonts w:ascii="Cambria" w:hAnsi="Cambria"/>
            <w:noProof/>
          </w:rPr>
          <w:t>Energy Audit</w:t>
        </w:r>
        <w:r>
          <w:rPr>
            <w:noProof/>
            <w:webHidden/>
          </w:rPr>
          <w:tab/>
        </w:r>
        <w:r>
          <w:rPr>
            <w:noProof/>
            <w:webHidden/>
          </w:rPr>
          <w:fldChar w:fldCharType="begin"/>
        </w:r>
        <w:r>
          <w:rPr>
            <w:noProof/>
            <w:webHidden/>
          </w:rPr>
          <w:instrText xml:space="preserve"> PAGEREF _Toc25850912 \h </w:instrText>
        </w:r>
        <w:r>
          <w:rPr>
            <w:noProof/>
            <w:webHidden/>
          </w:rPr>
        </w:r>
        <w:r>
          <w:rPr>
            <w:noProof/>
            <w:webHidden/>
          </w:rPr>
          <w:fldChar w:fldCharType="separate"/>
        </w:r>
        <w:r w:rsidR="00E011DF">
          <w:rPr>
            <w:noProof/>
            <w:webHidden/>
          </w:rPr>
          <w:t>18</w:t>
        </w:r>
        <w:r>
          <w:rPr>
            <w:noProof/>
            <w:webHidden/>
          </w:rPr>
          <w:fldChar w:fldCharType="end"/>
        </w:r>
      </w:hyperlink>
    </w:p>
    <w:p w:rsidR="00FE223B" w:rsidRDefault="00FE223B">
      <w:pPr>
        <w:pStyle w:val="TOC1"/>
        <w:tabs>
          <w:tab w:val="left" w:pos="880"/>
          <w:tab w:val="right" w:leader="dot" w:pos="9200"/>
        </w:tabs>
        <w:rPr>
          <w:rFonts w:asciiTheme="minorHAnsi" w:eastAsiaTheme="minorEastAsia" w:hAnsiTheme="minorHAnsi" w:cstheme="minorBidi"/>
          <w:noProof/>
          <w:sz w:val="22"/>
          <w:szCs w:val="22"/>
        </w:rPr>
      </w:pPr>
      <w:hyperlink w:anchor="_Toc25850913" w:history="1">
        <w:r w:rsidRPr="00FC7066">
          <w:rPr>
            <w:rStyle w:val="Hyperlink"/>
            <w:rFonts w:ascii="Cambria" w:hAnsi="Cambria"/>
            <w:noProof/>
          </w:rPr>
          <w:t>2.5.2.</w:t>
        </w:r>
        <w:r>
          <w:rPr>
            <w:rFonts w:asciiTheme="minorHAnsi" w:eastAsiaTheme="minorEastAsia" w:hAnsiTheme="minorHAnsi" w:cstheme="minorBidi"/>
            <w:noProof/>
            <w:sz w:val="22"/>
            <w:szCs w:val="22"/>
          </w:rPr>
          <w:tab/>
        </w:r>
        <w:r w:rsidRPr="00FC7066">
          <w:rPr>
            <w:rStyle w:val="Hyperlink"/>
            <w:rFonts w:ascii="Cambria" w:hAnsi="Cambria"/>
            <w:noProof/>
          </w:rPr>
          <w:t>Smart Metering Implementation</w:t>
        </w:r>
        <w:r>
          <w:rPr>
            <w:noProof/>
            <w:webHidden/>
          </w:rPr>
          <w:tab/>
        </w:r>
        <w:r>
          <w:rPr>
            <w:noProof/>
            <w:webHidden/>
          </w:rPr>
          <w:fldChar w:fldCharType="begin"/>
        </w:r>
        <w:r>
          <w:rPr>
            <w:noProof/>
            <w:webHidden/>
          </w:rPr>
          <w:instrText xml:space="preserve"> PAGEREF _Toc25850913 \h </w:instrText>
        </w:r>
        <w:r>
          <w:rPr>
            <w:noProof/>
            <w:webHidden/>
          </w:rPr>
        </w:r>
        <w:r>
          <w:rPr>
            <w:noProof/>
            <w:webHidden/>
          </w:rPr>
          <w:fldChar w:fldCharType="separate"/>
        </w:r>
        <w:r w:rsidR="00E011DF">
          <w:rPr>
            <w:noProof/>
            <w:webHidden/>
          </w:rPr>
          <w:t>23</w:t>
        </w:r>
        <w:r>
          <w:rPr>
            <w:noProof/>
            <w:webHidden/>
          </w:rPr>
          <w:fldChar w:fldCharType="end"/>
        </w:r>
      </w:hyperlink>
    </w:p>
    <w:p w:rsidR="00FE223B" w:rsidRDefault="00FE223B">
      <w:pPr>
        <w:pStyle w:val="TOC1"/>
        <w:tabs>
          <w:tab w:val="left" w:pos="880"/>
          <w:tab w:val="right" w:leader="dot" w:pos="9200"/>
        </w:tabs>
        <w:rPr>
          <w:rFonts w:asciiTheme="minorHAnsi" w:eastAsiaTheme="minorEastAsia" w:hAnsiTheme="minorHAnsi" w:cstheme="minorBidi"/>
          <w:noProof/>
          <w:sz w:val="22"/>
          <w:szCs w:val="22"/>
        </w:rPr>
      </w:pPr>
      <w:hyperlink w:anchor="_Toc25850914" w:history="1">
        <w:r w:rsidRPr="00FC7066">
          <w:rPr>
            <w:rStyle w:val="Hyperlink"/>
            <w:rFonts w:asciiTheme="majorHAnsi" w:hAnsiTheme="majorHAnsi"/>
            <w:noProof/>
          </w:rPr>
          <w:t>2.5.3.</w:t>
        </w:r>
        <w:r>
          <w:rPr>
            <w:rFonts w:asciiTheme="minorHAnsi" w:eastAsiaTheme="minorEastAsia" w:hAnsiTheme="minorHAnsi" w:cstheme="minorBidi"/>
            <w:noProof/>
            <w:sz w:val="22"/>
            <w:szCs w:val="22"/>
          </w:rPr>
          <w:tab/>
        </w:r>
        <w:r w:rsidRPr="00FC7066">
          <w:rPr>
            <w:rStyle w:val="Hyperlink"/>
            <w:rFonts w:asciiTheme="majorHAnsi" w:hAnsiTheme="majorHAnsi"/>
            <w:noProof/>
          </w:rPr>
          <w:t>AMR Installation and management expenses</w:t>
        </w:r>
        <w:r>
          <w:rPr>
            <w:noProof/>
            <w:webHidden/>
          </w:rPr>
          <w:tab/>
        </w:r>
        <w:r>
          <w:rPr>
            <w:noProof/>
            <w:webHidden/>
          </w:rPr>
          <w:fldChar w:fldCharType="begin"/>
        </w:r>
        <w:r>
          <w:rPr>
            <w:noProof/>
            <w:webHidden/>
          </w:rPr>
          <w:instrText xml:space="preserve"> PAGEREF _Toc25850914 \h </w:instrText>
        </w:r>
        <w:r>
          <w:rPr>
            <w:noProof/>
            <w:webHidden/>
          </w:rPr>
        </w:r>
        <w:r>
          <w:rPr>
            <w:noProof/>
            <w:webHidden/>
          </w:rPr>
          <w:fldChar w:fldCharType="separate"/>
        </w:r>
        <w:r w:rsidR="00E011DF">
          <w:rPr>
            <w:noProof/>
            <w:webHidden/>
          </w:rPr>
          <w:t>23</w:t>
        </w:r>
        <w:r>
          <w:rPr>
            <w:noProof/>
            <w:webHidden/>
          </w:rPr>
          <w:fldChar w:fldCharType="end"/>
        </w:r>
      </w:hyperlink>
    </w:p>
    <w:p w:rsidR="00FE223B" w:rsidRDefault="00FE223B">
      <w:pPr>
        <w:pStyle w:val="TOC1"/>
        <w:tabs>
          <w:tab w:val="left" w:pos="880"/>
          <w:tab w:val="right" w:leader="dot" w:pos="9200"/>
        </w:tabs>
        <w:rPr>
          <w:rFonts w:asciiTheme="minorHAnsi" w:eastAsiaTheme="minorEastAsia" w:hAnsiTheme="minorHAnsi" w:cstheme="minorBidi"/>
          <w:noProof/>
          <w:sz w:val="22"/>
          <w:szCs w:val="22"/>
        </w:rPr>
      </w:pPr>
      <w:hyperlink w:anchor="_Toc25850915" w:history="1">
        <w:r w:rsidRPr="00FC7066">
          <w:rPr>
            <w:rStyle w:val="Hyperlink"/>
            <w:rFonts w:asciiTheme="majorHAnsi" w:hAnsiTheme="majorHAnsi"/>
            <w:noProof/>
          </w:rPr>
          <w:t>2.5.4.</w:t>
        </w:r>
        <w:r>
          <w:rPr>
            <w:rFonts w:asciiTheme="minorHAnsi" w:eastAsiaTheme="minorEastAsia" w:hAnsiTheme="minorHAnsi" w:cstheme="minorBidi"/>
            <w:noProof/>
            <w:sz w:val="22"/>
            <w:szCs w:val="22"/>
          </w:rPr>
          <w:tab/>
        </w:r>
        <w:r w:rsidRPr="00FC7066">
          <w:rPr>
            <w:rStyle w:val="Hyperlink"/>
            <w:rFonts w:asciiTheme="majorHAnsi" w:hAnsiTheme="majorHAnsi"/>
            <w:noProof/>
          </w:rPr>
          <w:t>Media Campaigning</w:t>
        </w:r>
        <w:r>
          <w:rPr>
            <w:noProof/>
            <w:webHidden/>
          </w:rPr>
          <w:tab/>
        </w:r>
        <w:r>
          <w:rPr>
            <w:noProof/>
            <w:webHidden/>
          </w:rPr>
          <w:fldChar w:fldCharType="begin"/>
        </w:r>
        <w:r>
          <w:rPr>
            <w:noProof/>
            <w:webHidden/>
          </w:rPr>
          <w:instrText xml:space="preserve"> PAGEREF _Toc25850915 \h </w:instrText>
        </w:r>
        <w:r>
          <w:rPr>
            <w:noProof/>
            <w:webHidden/>
          </w:rPr>
        </w:r>
        <w:r>
          <w:rPr>
            <w:noProof/>
            <w:webHidden/>
          </w:rPr>
          <w:fldChar w:fldCharType="separate"/>
        </w:r>
        <w:r w:rsidR="00E011DF">
          <w:rPr>
            <w:noProof/>
            <w:webHidden/>
          </w:rPr>
          <w:t>24</w:t>
        </w:r>
        <w:r>
          <w:rPr>
            <w:noProof/>
            <w:webHidden/>
          </w:rPr>
          <w:fldChar w:fldCharType="end"/>
        </w:r>
      </w:hyperlink>
    </w:p>
    <w:p w:rsidR="00FE223B" w:rsidRDefault="00FE223B">
      <w:pPr>
        <w:pStyle w:val="TOC1"/>
        <w:tabs>
          <w:tab w:val="left" w:pos="880"/>
          <w:tab w:val="right" w:leader="dot" w:pos="9200"/>
        </w:tabs>
        <w:rPr>
          <w:rFonts w:asciiTheme="minorHAnsi" w:eastAsiaTheme="minorEastAsia" w:hAnsiTheme="minorHAnsi" w:cstheme="minorBidi"/>
          <w:noProof/>
          <w:sz w:val="22"/>
          <w:szCs w:val="22"/>
        </w:rPr>
      </w:pPr>
      <w:hyperlink w:anchor="_Toc25850916" w:history="1">
        <w:r w:rsidRPr="00FC7066">
          <w:rPr>
            <w:rStyle w:val="Hyperlink"/>
            <w:rFonts w:asciiTheme="majorHAnsi" w:hAnsiTheme="majorHAnsi"/>
            <w:noProof/>
          </w:rPr>
          <w:t>2.5.5.</w:t>
        </w:r>
        <w:r>
          <w:rPr>
            <w:rFonts w:asciiTheme="minorHAnsi" w:eastAsiaTheme="minorEastAsia" w:hAnsiTheme="minorHAnsi" w:cstheme="minorBidi"/>
            <w:noProof/>
            <w:sz w:val="22"/>
            <w:szCs w:val="22"/>
          </w:rPr>
          <w:tab/>
        </w:r>
        <w:r w:rsidRPr="00FC7066">
          <w:rPr>
            <w:rStyle w:val="Hyperlink"/>
            <w:rFonts w:asciiTheme="majorHAnsi" w:hAnsiTheme="majorHAnsi"/>
            <w:noProof/>
          </w:rPr>
          <w:t>Community Participation in Rural Power Distribution System of Odisha</w:t>
        </w:r>
        <w:r>
          <w:rPr>
            <w:noProof/>
            <w:webHidden/>
          </w:rPr>
          <w:tab/>
        </w:r>
        <w:r>
          <w:rPr>
            <w:noProof/>
            <w:webHidden/>
          </w:rPr>
          <w:fldChar w:fldCharType="begin"/>
        </w:r>
        <w:r>
          <w:rPr>
            <w:noProof/>
            <w:webHidden/>
          </w:rPr>
          <w:instrText xml:space="preserve"> PAGEREF _Toc25850916 \h </w:instrText>
        </w:r>
        <w:r>
          <w:rPr>
            <w:noProof/>
            <w:webHidden/>
          </w:rPr>
        </w:r>
        <w:r>
          <w:rPr>
            <w:noProof/>
            <w:webHidden/>
          </w:rPr>
          <w:fldChar w:fldCharType="separate"/>
        </w:r>
        <w:r w:rsidR="00E011DF">
          <w:rPr>
            <w:noProof/>
            <w:webHidden/>
          </w:rPr>
          <w:t>24</w:t>
        </w:r>
        <w:r>
          <w:rPr>
            <w:noProof/>
            <w:webHidden/>
          </w:rPr>
          <w:fldChar w:fldCharType="end"/>
        </w:r>
      </w:hyperlink>
    </w:p>
    <w:p w:rsidR="00FE223B" w:rsidRDefault="00FE223B">
      <w:pPr>
        <w:pStyle w:val="TOC1"/>
        <w:tabs>
          <w:tab w:val="left" w:pos="880"/>
          <w:tab w:val="right" w:leader="dot" w:pos="9200"/>
        </w:tabs>
        <w:rPr>
          <w:rFonts w:asciiTheme="minorHAnsi" w:eastAsiaTheme="minorEastAsia" w:hAnsiTheme="minorHAnsi" w:cstheme="minorBidi"/>
          <w:noProof/>
          <w:sz w:val="22"/>
          <w:szCs w:val="22"/>
        </w:rPr>
      </w:pPr>
      <w:hyperlink w:anchor="_Toc25850917" w:history="1">
        <w:r w:rsidRPr="00FC7066">
          <w:rPr>
            <w:rStyle w:val="Hyperlink"/>
            <w:rFonts w:ascii="Cambria" w:hAnsi="Cambria"/>
            <w:noProof/>
          </w:rPr>
          <w:t>2.5.6.</w:t>
        </w:r>
        <w:r>
          <w:rPr>
            <w:rFonts w:asciiTheme="minorHAnsi" w:eastAsiaTheme="minorEastAsia" w:hAnsiTheme="minorHAnsi" w:cstheme="minorBidi"/>
            <w:noProof/>
            <w:sz w:val="22"/>
            <w:szCs w:val="22"/>
          </w:rPr>
          <w:tab/>
        </w:r>
        <w:r w:rsidRPr="00FC7066">
          <w:rPr>
            <w:rStyle w:val="Hyperlink"/>
            <w:rFonts w:ascii="Cambria" w:hAnsi="Cambria"/>
            <w:noProof/>
          </w:rPr>
          <w:t>IT Automation</w:t>
        </w:r>
        <w:r>
          <w:rPr>
            <w:noProof/>
            <w:webHidden/>
          </w:rPr>
          <w:tab/>
        </w:r>
        <w:r>
          <w:rPr>
            <w:noProof/>
            <w:webHidden/>
          </w:rPr>
          <w:fldChar w:fldCharType="begin"/>
        </w:r>
        <w:r>
          <w:rPr>
            <w:noProof/>
            <w:webHidden/>
          </w:rPr>
          <w:instrText xml:space="preserve"> PAGEREF _Toc25850917 \h </w:instrText>
        </w:r>
        <w:r>
          <w:rPr>
            <w:noProof/>
            <w:webHidden/>
          </w:rPr>
        </w:r>
        <w:r>
          <w:rPr>
            <w:noProof/>
            <w:webHidden/>
          </w:rPr>
          <w:fldChar w:fldCharType="separate"/>
        </w:r>
        <w:r w:rsidR="00E011DF">
          <w:rPr>
            <w:noProof/>
            <w:webHidden/>
          </w:rPr>
          <w:t>26</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18" w:history="1">
        <w:r w:rsidRPr="00FC7066">
          <w:rPr>
            <w:rStyle w:val="Hyperlink"/>
            <w:rFonts w:ascii="Cambria" w:hAnsi="Cambria"/>
            <w:noProof/>
          </w:rPr>
          <w:t>2.6.</w:t>
        </w:r>
        <w:r>
          <w:rPr>
            <w:rFonts w:asciiTheme="minorHAnsi" w:eastAsiaTheme="minorEastAsia" w:hAnsiTheme="minorHAnsi" w:cstheme="minorBidi"/>
            <w:noProof/>
            <w:sz w:val="22"/>
            <w:szCs w:val="22"/>
          </w:rPr>
          <w:tab/>
        </w:r>
        <w:r w:rsidRPr="00FC7066">
          <w:rPr>
            <w:rStyle w:val="Hyperlink"/>
            <w:rFonts w:ascii="Cambria" w:hAnsi="Cambria"/>
            <w:noProof/>
          </w:rPr>
          <w:t>Repair &amp; Maintenance Expenses</w:t>
        </w:r>
        <w:r>
          <w:rPr>
            <w:noProof/>
            <w:webHidden/>
          </w:rPr>
          <w:tab/>
        </w:r>
        <w:r>
          <w:rPr>
            <w:noProof/>
            <w:webHidden/>
          </w:rPr>
          <w:fldChar w:fldCharType="begin"/>
        </w:r>
        <w:r>
          <w:rPr>
            <w:noProof/>
            <w:webHidden/>
          </w:rPr>
          <w:instrText xml:space="preserve"> PAGEREF _Toc25850918 \h </w:instrText>
        </w:r>
        <w:r>
          <w:rPr>
            <w:noProof/>
            <w:webHidden/>
          </w:rPr>
        </w:r>
        <w:r>
          <w:rPr>
            <w:noProof/>
            <w:webHidden/>
          </w:rPr>
          <w:fldChar w:fldCharType="separate"/>
        </w:r>
        <w:r w:rsidR="00E011DF">
          <w:rPr>
            <w:noProof/>
            <w:webHidden/>
          </w:rPr>
          <w:t>27</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19" w:history="1">
        <w:r w:rsidRPr="00FC7066">
          <w:rPr>
            <w:rStyle w:val="Hyperlink"/>
            <w:rFonts w:ascii="Cambria" w:hAnsi="Cambria"/>
            <w:noProof/>
          </w:rPr>
          <w:t>2.7.</w:t>
        </w:r>
        <w:r>
          <w:rPr>
            <w:rFonts w:asciiTheme="minorHAnsi" w:eastAsiaTheme="minorEastAsia" w:hAnsiTheme="minorHAnsi" w:cstheme="minorBidi"/>
            <w:noProof/>
            <w:sz w:val="22"/>
            <w:szCs w:val="22"/>
          </w:rPr>
          <w:tab/>
        </w:r>
        <w:r w:rsidRPr="00FC7066">
          <w:rPr>
            <w:rStyle w:val="Hyperlink"/>
            <w:rFonts w:ascii="Cambria" w:hAnsi="Cambria"/>
            <w:noProof/>
          </w:rPr>
          <w:t>Provision for Bad and Doubtful Debts</w:t>
        </w:r>
        <w:r>
          <w:rPr>
            <w:noProof/>
            <w:webHidden/>
          </w:rPr>
          <w:tab/>
        </w:r>
        <w:r>
          <w:rPr>
            <w:noProof/>
            <w:webHidden/>
          </w:rPr>
          <w:fldChar w:fldCharType="begin"/>
        </w:r>
        <w:r>
          <w:rPr>
            <w:noProof/>
            <w:webHidden/>
          </w:rPr>
          <w:instrText xml:space="preserve"> PAGEREF _Toc25850919 \h </w:instrText>
        </w:r>
        <w:r>
          <w:rPr>
            <w:noProof/>
            <w:webHidden/>
          </w:rPr>
        </w:r>
        <w:r>
          <w:rPr>
            <w:noProof/>
            <w:webHidden/>
          </w:rPr>
          <w:fldChar w:fldCharType="separate"/>
        </w:r>
        <w:r w:rsidR="00E011DF">
          <w:rPr>
            <w:noProof/>
            <w:webHidden/>
          </w:rPr>
          <w:t>27</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20" w:history="1">
        <w:r w:rsidRPr="00FC7066">
          <w:rPr>
            <w:rStyle w:val="Hyperlink"/>
            <w:rFonts w:ascii="Cambria" w:hAnsi="Cambria"/>
            <w:noProof/>
          </w:rPr>
          <w:t>2.8.</w:t>
        </w:r>
        <w:r>
          <w:rPr>
            <w:rFonts w:asciiTheme="minorHAnsi" w:eastAsiaTheme="minorEastAsia" w:hAnsiTheme="minorHAnsi" w:cstheme="minorBidi"/>
            <w:noProof/>
            <w:sz w:val="22"/>
            <w:szCs w:val="22"/>
          </w:rPr>
          <w:tab/>
        </w:r>
        <w:r w:rsidRPr="00FC7066">
          <w:rPr>
            <w:rStyle w:val="Hyperlink"/>
            <w:rFonts w:ascii="Cambria" w:hAnsi="Cambria"/>
            <w:noProof/>
          </w:rPr>
          <w:t>Depreciation</w:t>
        </w:r>
        <w:r>
          <w:rPr>
            <w:noProof/>
            <w:webHidden/>
          </w:rPr>
          <w:tab/>
        </w:r>
        <w:r>
          <w:rPr>
            <w:noProof/>
            <w:webHidden/>
          </w:rPr>
          <w:fldChar w:fldCharType="begin"/>
        </w:r>
        <w:r>
          <w:rPr>
            <w:noProof/>
            <w:webHidden/>
          </w:rPr>
          <w:instrText xml:space="preserve"> PAGEREF _Toc25850920 \h </w:instrText>
        </w:r>
        <w:r>
          <w:rPr>
            <w:noProof/>
            <w:webHidden/>
          </w:rPr>
        </w:r>
        <w:r>
          <w:rPr>
            <w:noProof/>
            <w:webHidden/>
          </w:rPr>
          <w:fldChar w:fldCharType="separate"/>
        </w:r>
        <w:r w:rsidR="00E011DF">
          <w:rPr>
            <w:noProof/>
            <w:webHidden/>
          </w:rPr>
          <w:t>28</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21" w:history="1">
        <w:r w:rsidRPr="00FC7066">
          <w:rPr>
            <w:rStyle w:val="Hyperlink"/>
            <w:rFonts w:ascii="Cambria" w:hAnsi="Cambria"/>
            <w:noProof/>
          </w:rPr>
          <w:t>2.9.</w:t>
        </w:r>
        <w:r>
          <w:rPr>
            <w:rFonts w:asciiTheme="minorHAnsi" w:eastAsiaTheme="minorEastAsia" w:hAnsiTheme="minorHAnsi" w:cstheme="minorBidi"/>
            <w:noProof/>
            <w:sz w:val="22"/>
            <w:szCs w:val="22"/>
          </w:rPr>
          <w:tab/>
        </w:r>
        <w:r w:rsidRPr="00FC7066">
          <w:rPr>
            <w:rStyle w:val="Hyperlink"/>
            <w:rFonts w:ascii="Cambria" w:hAnsi="Cambria"/>
            <w:noProof/>
          </w:rPr>
          <w:t>Interest Expenses</w:t>
        </w:r>
        <w:r>
          <w:rPr>
            <w:noProof/>
            <w:webHidden/>
          </w:rPr>
          <w:tab/>
        </w:r>
        <w:r>
          <w:rPr>
            <w:noProof/>
            <w:webHidden/>
          </w:rPr>
          <w:fldChar w:fldCharType="begin"/>
        </w:r>
        <w:r>
          <w:rPr>
            <w:noProof/>
            <w:webHidden/>
          </w:rPr>
          <w:instrText xml:space="preserve"> PAGEREF _Toc25850921 \h </w:instrText>
        </w:r>
        <w:r>
          <w:rPr>
            <w:noProof/>
            <w:webHidden/>
          </w:rPr>
        </w:r>
        <w:r>
          <w:rPr>
            <w:noProof/>
            <w:webHidden/>
          </w:rPr>
          <w:fldChar w:fldCharType="separate"/>
        </w:r>
        <w:r w:rsidR="00E011DF">
          <w:rPr>
            <w:noProof/>
            <w:webHidden/>
          </w:rPr>
          <w:t>28</w:t>
        </w:r>
        <w:r>
          <w:rPr>
            <w:noProof/>
            <w:webHidden/>
          </w:rPr>
          <w:fldChar w:fldCharType="end"/>
        </w:r>
      </w:hyperlink>
    </w:p>
    <w:p w:rsidR="00FE223B" w:rsidRDefault="00FE223B">
      <w:pPr>
        <w:pStyle w:val="TOC1"/>
        <w:tabs>
          <w:tab w:val="left" w:pos="880"/>
          <w:tab w:val="right" w:leader="dot" w:pos="9200"/>
        </w:tabs>
        <w:rPr>
          <w:rFonts w:asciiTheme="minorHAnsi" w:eastAsiaTheme="minorEastAsia" w:hAnsiTheme="minorHAnsi" w:cstheme="minorBidi"/>
          <w:noProof/>
          <w:sz w:val="22"/>
          <w:szCs w:val="22"/>
        </w:rPr>
      </w:pPr>
      <w:hyperlink w:anchor="_Toc25850922" w:history="1">
        <w:r w:rsidRPr="00FC7066">
          <w:rPr>
            <w:rStyle w:val="Hyperlink"/>
            <w:rFonts w:ascii="Cambria" w:hAnsi="Cambria"/>
            <w:noProof/>
          </w:rPr>
          <w:t>2.9.2.</w:t>
        </w:r>
        <w:r>
          <w:rPr>
            <w:rFonts w:asciiTheme="minorHAnsi" w:eastAsiaTheme="minorEastAsia" w:hAnsiTheme="minorHAnsi" w:cstheme="minorBidi"/>
            <w:noProof/>
            <w:sz w:val="22"/>
            <w:szCs w:val="22"/>
          </w:rPr>
          <w:tab/>
        </w:r>
        <w:r w:rsidRPr="00FC7066">
          <w:rPr>
            <w:rStyle w:val="Hyperlink"/>
            <w:rFonts w:ascii="Cambria" w:hAnsi="Cambria"/>
            <w:noProof/>
          </w:rPr>
          <w:t>World Bank Loan</w:t>
        </w:r>
        <w:r>
          <w:rPr>
            <w:noProof/>
            <w:webHidden/>
          </w:rPr>
          <w:tab/>
        </w:r>
        <w:r>
          <w:rPr>
            <w:noProof/>
            <w:webHidden/>
          </w:rPr>
          <w:fldChar w:fldCharType="begin"/>
        </w:r>
        <w:r>
          <w:rPr>
            <w:noProof/>
            <w:webHidden/>
          </w:rPr>
          <w:instrText xml:space="preserve"> PAGEREF _Toc25850922 \h </w:instrText>
        </w:r>
        <w:r>
          <w:rPr>
            <w:noProof/>
            <w:webHidden/>
          </w:rPr>
        </w:r>
        <w:r>
          <w:rPr>
            <w:noProof/>
            <w:webHidden/>
          </w:rPr>
          <w:fldChar w:fldCharType="separate"/>
        </w:r>
        <w:r w:rsidR="00E011DF">
          <w:rPr>
            <w:noProof/>
            <w:webHidden/>
          </w:rPr>
          <w:t>29</w:t>
        </w:r>
        <w:r>
          <w:rPr>
            <w:noProof/>
            <w:webHidden/>
          </w:rPr>
          <w:fldChar w:fldCharType="end"/>
        </w:r>
      </w:hyperlink>
    </w:p>
    <w:p w:rsidR="00FE223B" w:rsidRDefault="00FE223B">
      <w:pPr>
        <w:pStyle w:val="TOC1"/>
        <w:tabs>
          <w:tab w:val="left" w:pos="880"/>
          <w:tab w:val="right" w:leader="dot" w:pos="9200"/>
        </w:tabs>
        <w:rPr>
          <w:rFonts w:asciiTheme="minorHAnsi" w:eastAsiaTheme="minorEastAsia" w:hAnsiTheme="minorHAnsi" w:cstheme="minorBidi"/>
          <w:noProof/>
          <w:sz w:val="22"/>
          <w:szCs w:val="22"/>
        </w:rPr>
      </w:pPr>
      <w:hyperlink w:anchor="_Toc25850923" w:history="1">
        <w:r w:rsidRPr="00FC7066">
          <w:rPr>
            <w:rStyle w:val="Hyperlink"/>
            <w:rFonts w:ascii="Cambria" w:hAnsi="Cambria"/>
            <w:noProof/>
          </w:rPr>
          <w:t>2.9.3.</w:t>
        </w:r>
        <w:r>
          <w:rPr>
            <w:rFonts w:asciiTheme="minorHAnsi" w:eastAsiaTheme="minorEastAsia" w:hAnsiTheme="minorHAnsi" w:cstheme="minorBidi"/>
            <w:noProof/>
            <w:sz w:val="22"/>
            <w:szCs w:val="22"/>
          </w:rPr>
          <w:tab/>
        </w:r>
        <w:r w:rsidRPr="00FC7066">
          <w:rPr>
            <w:rStyle w:val="Hyperlink"/>
            <w:rFonts w:ascii="Cambria" w:hAnsi="Cambria"/>
            <w:noProof/>
          </w:rPr>
          <w:t>Capex Loan from Govt. of Odisha</w:t>
        </w:r>
        <w:r>
          <w:rPr>
            <w:noProof/>
            <w:webHidden/>
          </w:rPr>
          <w:tab/>
        </w:r>
        <w:r>
          <w:rPr>
            <w:noProof/>
            <w:webHidden/>
          </w:rPr>
          <w:fldChar w:fldCharType="begin"/>
        </w:r>
        <w:r>
          <w:rPr>
            <w:noProof/>
            <w:webHidden/>
          </w:rPr>
          <w:instrText xml:space="preserve"> PAGEREF _Toc25850923 \h </w:instrText>
        </w:r>
        <w:r>
          <w:rPr>
            <w:noProof/>
            <w:webHidden/>
          </w:rPr>
        </w:r>
        <w:r>
          <w:rPr>
            <w:noProof/>
            <w:webHidden/>
          </w:rPr>
          <w:fldChar w:fldCharType="separate"/>
        </w:r>
        <w:r w:rsidR="00E011DF">
          <w:rPr>
            <w:noProof/>
            <w:webHidden/>
          </w:rPr>
          <w:t>30</w:t>
        </w:r>
        <w:r>
          <w:rPr>
            <w:noProof/>
            <w:webHidden/>
          </w:rPr>
          <w:fldChar w:fldCharType="end"/>
        </w:r>
      </w:hyperlink>
    </w:p>
    <w:p w:rsidR="00FE223B" w:rsidRDefault="00FE223B">
      <w:pPr>
        <w:pStyle w:val="TOC1"/>
        <w:tabs>
          <w:tab w:val="left" w:pos="880"/>
          <w:tab w:val="right" w:leader="dot" w:pos="9200"/>
        </w:tabs>
        <w:rPr>
          <w:rFonts w:asciiTheme="minorHAnsi" w:eastAsiaTheme="minorEastAsia" w:hAnsiTheme="minorHAnsi" w:cstheme="minorBidi"/>
          <w:noProof/>
          <w:sz w:val="22"/>
          <w:szCs w:val="22"/>
        </w:rPr>
      </w:pPr>
      <w:hyperlink w:anchor="_Toc25850924" w:history="1">
        <w:r w:rsidRPr="00FC7066">
          <w:rPr>
            <w:rStyle w:val="Hyperlink"/>
            <w:rFonts w:ascii="Cambria" w:hAnsi="Cambria"/>
            <w:noProof/>
          </w:rPr>
          <w:t>2.9.4.</w:t>
        </w:r>
        <w:r>
          <w:rPr>
            <w:rFonts w:asciiTheme="minorHAnsi" w:eastAsiaTheme="minorEastAsia" w:hAnsiTheme="minorHAnsi" w:cstheme="minorBidi"/>
            <w:noProof/>
            <w:sz w:val="22"/>
            <w:szCs w:val="22"/>
          </w:rPr>
          <w:tab/>
        </w:r>
        <w:r w:rsidRPr="00FC7066">
          <w:rPr>
            <w:rStyle w:val="Hyperlink"/>
            <w:rFonts w:ascii="Cambria" w:hAnsi="Cambria"/>
            <w:noProof/>
          </w:rPr>
          <w:t>Interest on Security Deposit</w:t>
        </w:r>
        <w:r>
          <w:rPr>
            <w:noProof/>
            <w:webHidden/>
          </w:rPr>
          <w:tab/>
        </w:r>
        <w:r>
          <w:rPr>
            <w:noProof/>
            <w:webHidden/>
          </w:rPr>
          <w:fldChar w:fldCharType="begin"/>
        </w:r>
        <w:r>
          <w:rPr>
            <w:noProof/>
            <w:webHidden/>
          </w:rPr>
          <w:instrText xml:space="preserve"> PAGEREF _Toc25850924 \h </w:instrText>
        </w:r>
        <w:r>
          <w:rPr>
            <w:noProof/>
            <w:webHidden/>
          </w:rPr>
        </w:r>
        <w:r>
          <w:rPr>
            <w:noProof/>
            <w:webHidden/>
          </w:rPr>
          <w:fldChar w:fldCharType="separate"/>
        </w:r>
        <w:r w:rsidR="00E011DF">
          <w:rPr>
            <w:noProof/>
            <w:webHidden/>
          </w:rPr>
          <w:t>30</w:t>
        </w:r>
        <w:r>
          <w:rPr>
            <w:noProof/>
            <w:webHidden/>
          </w:rPr>
          <w:fldChar w:fldCharType="end"/>
        </w:r>
      </w:hyperlink>
    </w:p>
    <w:p w:rsidR="00FE223B" w:rsidRDefault="00FE223B">
      <w:pPr>
        <w:pStyle w:val="TOC1"/>
        <w:tabs>
          <w:tab w:val="left" w:pos="880"/>
          <w:tab w:val="right" w:leader="dot" w:pos="9200"/>
        </w:tabs>
        <w:rPr>
          <w:rFonts w:asciiTheme="minorHAnsi" w:eastAsiaTheme="minorEastAsia" w:hAnsiTheme="minorHAnsi" w:cstheme="minorBidi"/>
          <w:noProof/>
          <w:sz w:val="22"/>
          <w:szCs w:val="22"/>
        </w:rPr>
      </w:pPr>
      <w:hyperlink w:anchor="_Toc25850925" w:history="1">
        <w:r w:rsidRPr="00FC7066">
          <w:rPr>
            <w:rStyle w:val="Hyperlink"/>
            <w:rFonts w:ascii="Cambria" w:hAnsi="Cambria"/>
            <w:noProof/>
          </w:rPr>
          <w:t>2.9.5.</w:t>
        </w:r>
        <w:r>
          <w:rPr>
            <w:rFonts w:asciiTheme="minorHAnsi" w:eastAsiaTheme="minorEastAsia" w:hAnsiTheme="minorHAnsi" w:cstheme="minorBidi"/>
            <w:noProof/>
            <w:sz w:val="22"/>
            <w:szCs w:val="22"/>
          </w:rPr>
          <w:tab/>
        </w:r>
        <w:r w:rsidRPr="00FC7066">
          <w:rPr>
            <w:rStyle w:val="Hyperlink"/>
            <w:rFonts w:ascii="Cambria" w:hAnsi="Cambria"/>
            <w:noProof/>
          </w:rPr>
          <w:t>Total Interest for Financial Year FY 2020-21</w:t>
        </w:r>
        <w:r>
          <w:rPr>
            <w:noProof/>
            <w:webHidden/>
          </w:rPr>
          <w:tab/>
        </w:r>
        <w:r>
          <w:rPr>
            <w:noProof/>
            <w:webHidden/>
          </w:rPr>
          <w:fldChar w:fldCharType="begin"/>
        </w:r>
        <w:r>
          <w:rPr>
            <w:noProof/>
            <w:webHidden/>
          </w:rPr>
          <w:instrText xml:space="preserve"> PAGEREF _Toc25850925 \h </w:instrText>
        </w:r>
        <w:r>
          <w:rPr>
            <w:noProof/>
            <w:webHidden/>
          </w:rPr>
        </w:r>
        <w:r>
          <w:rPr>
            <w:noProof/>
            <w:webHidden/>
          </w:rPr>
          <w:fldChar w:fldCharType="separate"/>
        </w:r>
        <w:r w:rsidR="00E011DF">
          <w:rPr>
            <w:noProof/>
            <w:webHidden/>
          </w:rPr>
          <w:t>31</w:t>
        </w:r>
        <w:r>
          <w:rPr>
            <w:noProof/>
            <w:webHidden/>
          </w:rPr>
          <w:fldChar w:fldCharType="end"/>
        </w:r>
      </w:hyperlink>
    </w:p>
    <w:p w:rsidR="00FE223B" w:rsidRDefault="00FE223B">
      <w:pPr>
        <w:pStyle w:val="TOC1"/>
        <w:tabs>
          <w:tab w:val="left" w:pos="480"/>
          <w:tab w:val="right" w:leader="dot" w:pos="9200"/>
        </w:tabs>
        <w:rPr>
          <w:rFonts w:asciiTheme="minorHAnsi" w:eastAsiaTheme="minorEastAsia" w:hAnsiTheme="minorHAnsi" w:cstheme="minorBidi"/>
          <w:noProof/>
          <w:sz w:val="22"/>
          <w:szCs w:val="22"/>
        </w:rPr>
      </w:pPr>
      <w:hyperlink w:anchor="_Toc25850926" w:history="1">
        <w:r w:rsidRPr="00FC7066">
          <w:rPr>
            <w:rStyle w:val="Hyperlink"/>
            <w:rFonts w:ascii="Book Antiqua" w:hAnsi="Book Antiqua"/>
            <w:smallCaps/>
            <w:noProof/>
          </w:rPr>
          <w:t>3.</w:t>
        </w:r>
        <w:r>
          <w:rPr>
            <w:rFonts w:asciiTheme="minorHAnsi" w:eastAsiaTheme="minorEastAsia" w:hAnsiTheme="minorHAnsi" w:cstheme="minorBidi"/>
            <w:noProof/>
            <w:sz w:val="22"/>
            <w:szCs w:val="22"/>
          </w:rPr>
          <w:tab/>
        </w:r>
        <w:r w:rsidRPr="00FC7066">
          <w:rPr>
            <w:rStyle w:val="Hyperlink"/>
            <w:rFonts w:ascii="Book Antiqua" w:hAnsi="Book Antiqua"/>
            <w:smallCaps/>
            <w:noProof/>
          </w:rPr>
          <w:t>Capital Expenditure Programme</w:t>
        </w:r>
        <w:r>
          <w:rPr>
            <w:noProof/>
            <w:webHidden/>
          </w:rPr>
          <w:tab/>
        </w:r>
        <w:r>
          <w:rPr>
            <w:noProof/>
            <w:webHidden/>
          </w:rPr>
          <w:fldChar w:fldCharType="begin"/>
        </w:r>
        <w:r>
          <w:rPr>
            <w:noProof/>
            <w:webHidden/>
          </w:rPr>
          <w:instrText xml:space="preserve"> PAGEREF _Toc25850926 \h </w:instrText>
        </w:r>
        <w:r>
          <w:rPr>
            <w:noProof/>
            <w:webHidden/>
          </w:rPr>
        </w:r>
        <w:r>
          <w:rPr>
            <w:noProof/>
            <w:webHidden/>
          </w:rPr>
          <w:fldChar w:fldCharType="separate"/>
        </w:r>
        <w:r w:rsidR="00E011DF">
          <w:rPr>
            <w:noProof/>
            <w:webHidden/>
          </w:rPr>
          <w:t>31</w:t>
        </w:r>
        <w:r>
          <w:rPr>
            <w:noProof/>
            <w:webHidden/>
          </w:rPr>
          <w:fldChar w:fldCharType="end"/>
        </w:r>
      </w:hyperlink>
    </w:p>
    <w:p w:rsidR="00FE223B" w:rsidRDefault="00FE223B">
      <w:pPr>
        <w:pStyle w:val="TOC1"/>
        <w:tabs>
          <w:tab w:val="left" w:pos="880"/>
          <w:tab w:val="right" w:leader="dot" w:pos="9200"/>
        </w:tabs>
        <w:rPr>
          <w:rFonts w:asciiTheme="minorHAnsi" w:eastAsiaTheme="minorEastAsia" w:hAnsiTheme="minorHAnsi" w:cstheme="minorBidi"/>
          <w:noProof/>
          <w:sz w:val="22"/>
          <w:szCs w:val="22"/>
        </w:rPr>
      </w:pPr>
      <w:hyperlink w:anchor="_Toc25850927" w:history="1">
        <w:r w:rsidRPr="00FC7066">
          <w:rPr>
            <w:rStyle w:val="Hyperlink"/>
            <w:smallCaps/>
            <w:noProof/>
          </w:rPr>
          <w:t>3.1.1.</w:t>
        </w:r>
        <w:r>
          <w:rPr>
            <w:rFonts w:asciiTheme="minorHAnsi" w:eastAsiaTheme="minorEastAsia" w:hAnsiTheme="minorHAnsi" w:cstheme="minorBidi"/>
            <w:noProof/>
            <w:sz w:val="22"/>
            <w:szCs w:val="22"/>
          </w:rPr>
          <w:tab/>
        </w:r>
        <w:r w:rsidRPr="00FC7066">
          <w:rPr>
            <w:rStyle w:val="Hyperlink"/>
            <w:smallCaps/>
            <w:noProof/>
          </w:rPr>
          <w:t>Deen Dayal Upadhyaya Gramya Jyoti Yojana (RAJIV GANDHI GRAMINA VIDYUTKARANA YOJANA (RGGVY- 12th Plan))</w:t>
        </w:r>
        <w:r>
          <w:rPr>
            <w:noProof/>
            <w:webHidden/>
          </w:rPr>
          <w:tab/>
        </w:r>
        <w:r>
          <w:rPr>
            <w:noProof/>
            <w:webHidden/>
          </w:rPr>
          <w:fldChar w:fldCharType="begin"/>
        </w:r>
        <w:r>
          <w:rPr>
            <w:noProof/>
            <w:webHidden/>
          </w:rPr>
          <w:instrText xml:space="preserve"> PAGEREF _Toc25850927 \h </w:instrText>
        </w:r>
        <w:r>
          <w:rPr>
            <w:noProof/>
            <w:webHidden/>
          </w:rPr>
        </w:r>
        <w:r>
          <w:rPr>
            <w:noProof/>
            <w:webHidden/>
          </w:rPr>
          <w:fldChar w:fldCharType="separate"/>
        </w:r>
        <w:r w:rsidR="00E011DF">
          <w:rPr>
            <w:noProof/>
            <w:webHidden/>
          </w:rPr>
          <w:t>31</w:t>
        </w:r>
        <w:r>
          <w:rPr>
            <w:noProof/>
            <w:webHidden/>
          </w:rPr>
          <w:fldChar w:fldCharType="end"/>
        </w:r>
      </w:hyperlink>
    </w:p>
    <w:p w:rsidR="00FE223B" w:rsidRDefault="00FE223B">
      <w:pPr>
        <w:pStyle w:val="TOC1"/>
        <w:tabs>
          <w:tab w:val="left" w:pos="880"/>
          <w:tab w:val="right" w:leader="dot" w:pos="9200"/>
        </w:tabs>
        <w:rPr>
          <w:rFonts w:asciiTheme="minorHAnsi" w:eastAsiaTheme="minorEastAsia" w:hAnsiTheme="minorHAnsi" w:cstheme="minorBidi"/>
          <w:noProof/>
          <w:sz w:val="22"/>
          <w:szCs w:val="22"/>
        </w:rPr>
      </w:pPr>
      <w:hyperlink w:anchor="_Toc25850929" w:history="1">
        <w:r w:rsidRPr="00FC7066">
          <w:rPr>
            <w:rStyle w:val="Hyperlink"/>
            <w:smallCaps/>
            <w:noProof/>
          </w:rPr>
          <w:t>3.1.2.</w:t>
        </w:r>
        <w:r>
          <w:rPr>
            <w:rFonts w:asciiTheme="minorHAnsi" w:eastAsiaTheme="minorEastAsia" w:hAnsiTheme="minorHAnsi" w:cstheme="minorBidi"/>
            <w:noProof/>
            <w:sz w:val="22"/>
            <w:szCs w:val="22"/>
          </w:rPr>
          <w:tab/>
        </w:r>
        <w:r w:rsidRPr="00FC7066">
          <w:rPr>
            <w:rStyle w:val="Hyperlink"/>
            <w:smallCaps/>
            <w:noProof/>
          </w:rPr>
          <w:t>Deen Dayal Upadhyaya Gramya Jyoti Yojana (DDUGJY)</w:t>
        </w:r>
        <w:r>
          <w:rPr>
            <w:noProof/>
            <w:webHidden/>
          </w:rPr>
          <w:tab/>
        </w:r>
        <w:r>
          <w:rPr>
            <w:noProof/>
            <w:webHidden/>
          </w:rPr>
          <w:fldChar w:fldCharType="begin"/>
        </w:r>
        <w:r>
          <w:rPr>
            <w:noProof/>
            <w:webHidden/>
          </w:rPr>
          <w:instrText xml:space="preserve"> PAGEREF _Toc25850929 \h </w:instrText>
        </w:r>
        <w:r>
          <w:rPr>
            <w:noProof/>
            <w:webHidden/>
          </w:rPr>
        </w:r>
        <w:r>
          <w:rPr>
            <w:noProof/>
            <w:webHidden/>
          </w:rPr>
          <w:fldChar w:fldCharType="separate"/>
        </w:r>
        <w:r w:rsidR="00E011DF">
          <w:rPr>
            <w:noProof/>
            <w:webHidden/>
          </w:rPr>
          <w:t>32</w:t>
        </w:r>
        <w:r>
          <w:rPr>
            <w:noProof/>
            <w:webHidden/>
          </w:rPr>
          <w:fldChar w:fldCharType="end"/>
        </w:r>
      </w:hyperlink>
    </w:p>
    <w:p w:rsidR="00FE223B" w:rsidRDefault="00FE223B">
      <w:pPr>
        <w:pStyle w:val="TOC1"/>
        <w:tabs>
          <w:tab w:val="left" w:pos="880"/>
          <w:tab w:val="right" w:leader="dot" w:pos="9200"/>
        </w:tabs>
        <w:rPr>
          <w:rFonts w:asciiTheme="minorHAnsi" w:eastAsiaTheme="minorEastAsia" w:hAnsiTheme="minorHAnsi" w:cstheme="minorBidi"/>
          <w:noProof/>
          <w:sz w:val="22"/>
          <w:szCs w:val="22"/>
        </w:rPr>
      </w:pPr>
      <w:hyperlink w:anchor="_Toc25850934" w:history="1">
        <w:r w:rsidRPr="00FC7066">
          <w:rPr>
            <w:rStyle w:val="Hyperlink"/>
            <w:smallCaps/>
            <w:noProof/>
          </w:rPr>
          <w:t>3.1.3.</w:t>
        </w:r>
        <w:r>
          <w:rPr>
            <w:rFonts w:asciiTheme="minorHAnsi" w:eastAsiaTheme="minorEastAsia" w:hAnsiTheme="minorHAnsi" w:cstheme="minorBidi"/>
            <w:noProof/>
            <w:sz w:val="22"/>
            <w:szCs w:val="22"/>
          </w:rPr>
          <w:tab/>
        </w:r>
        <w:r w:rsidRPr="00FC7066">
          <w:rPr>
            <w:rStyle w:val="Hyperlink"/>
            <w:smallCaps/>
            <w:noProof/>
          </w:rPr>
          <w:t>Integrated Power Development Scheme (IPDS)</w:t>
        </w:r>
        <w:r>
          <w:rPr>
            <w:noProof/>
            <w:webHidden/>
          </w:rPr>
          <w:tab/>
        </w:r>
        <w:r>
          <w:rPr>
            <w:noProof/>
            <w:webHidden/>
          </w:rPr>
          <w:fldChar w:fldCharType="begin"/>
        </w:r>
        <w:r>
          <w:rPr>
            <w:noProof/>
            <w:webHidden/>
          </w:rPr>
          <w:instrText xml:space="preserve"> PAGEREF _Toc25850934 \h </w:instrText>
        </w:r>
        <w:r>
          <w:rPr>
            <w:noProof/>
            <w:webHidden/>
          </w:rPr>
        </w:r>
        <w:r>
          <w:rPr>
            <w:noProof/>
            <w:webHidden/>
          </w:rPr>
          <w:fldChar w:fldCharType="separate"/>
        </w:r>
        <w:r w:rsidR="00E011DF">
          <w:rPr>
            <w:noProof/>
            <w:webHidden/>
          </w:rPr>
          <w:t>32</w:t>
        </w:r>
        <w:r>
          <w:rPr>
            <w:noProof/>
            <w:webHidden/>
          </w:rPr>
          <w:fldChar w:fldCharType="end"/>
        </w:r>
      </w:hyperlink>
    </w:p>
    <w:p w:rsidR="00FE223B" w:rsidRDefault="00FE223B">
      <w:pPr>
        <w:pStyle w:val="TOC1"/>
        <w:tabs>
          <w:tab w:val="left" w:pos="880"/>
          <w:tab w:val="right" w:leader="dot" w:pos="9200"/>
        </w:tabs>
        <w:rPr>
          <w:rFonts w:asciiTheme="minorHAnsi" w:eastAsiaTheme="minorEastAsia" w:hAnsiTheme="minorHAnsi" w:cstheme="minorBidi"/>
          <w:noProof/>
          <w:sz w:val="22"/>
          <w:szCs w:val="22"/>
        </w:rPr>
      </w:pPr>
      <w:hyperlink w:anchor="_Toc25850938" w:history="1">
        <w:r w:rsidRPr="00FC7066">
          <w:rPr>
            <w:rStyle w:val="Hyperlink"/>
            <w:smallCaps/>
            <w:noProof/>
          </w:rPr>
          <w:t>3.1.4.</w:t>
        </w:r>
        <w:r>
          <w:rPr>
            <w:rFonts w:asciiTheme="minorHAnsi" w:eastAsiaTheme="minorEastAsia" w:hAnsiTheme="minorHAnsi" w:cstheme="minorBidi"/>
            <w:noProof/>
            <w:sz w:val="22"/>
            <w:szCs w:val="22"/>
          </w:rPr>
          <w:tab/>
        </w:r>
        <w:r w:rsidRPr="00FC7066">
          <w:rPr>
            <w:rStyle w:val="Hyperlink"/>
            <w:smallCaps/>
            <w:noProof/>
          </w:rPr>
          <w:t>Biju Grama Jyoti Yojana (BGJY)</w:t>
        </w:r>
        <w:r>
          <w:rPr>
            <w:noProof/>
            <w:webHidden/>
          </w:rPr>
          <w:tab/>
        </w:r>
        <w:r>
          <w:rPr>
            <w:noProof/>
            <w:webHidden/>
          </w:rPr>
          <w:fldChar w:fldCharType="begin"/>
        </w:r>
        <w:r>
          <w:rPr>
            <w:noProof/>
            <w:webHidden/>
          </w:rPr>
          <w:instrText xml:space="preserve"> PAGEREF _Toc25850938 \h </w:instrText>
        </w:r>
        <w:r>
          <w:rPr>
            <w:noProof/>
            <w:webHidden/>
          </w:rPr>
        </w:r>
        <w:r>
          <w:rPr>
            <w:noProof/>
            <w:webHidden/>
          </w:rPr>
          <w:fldChar w:fldCharType="separate"/>
        </w:r>
        <w:r w:rsidR="00E011DF">
          <w:rPr>
            <w:noProof/>
            <w:webHidden/>
          </w:rPr>
          <w:t>33</w:t>
        </w:r>
        <w:r>
          <w:rPr>
            <w:noProof/>
            <w:webHidden/>
          </w:rPr>
          <w:fldChar w:fldCharType="end"/>
        </w:r>
      </w:hyperlink>
    </w:p>
    <w:p w:rsidR="00FE223B" w:rsidRDefault="00FE223B">
      <w:pPr>
        <w:pStyle w:val="TOC1"/>
        <w:tabs>
          <w:tab w:val="left" w:pos="880"/>
          <w:tab w:val="right" w:leader="dot" w:pos="9200"/>
        </w:tabs>
        <w:rPr>
          <w:rFonts w:asciiTheme="minorHAnsi" w:eastAsiaTheme="minorEastAsia" w:hAnsiTheme="minorHAnsi" w:cstheme="minorBidi"/>
          <w:noProof/>
          <w:sz w:val="22"/>
          <w:szCs w:val="22"/>
        </w:rPr>
      </w:pPr>
      <w:hyperlink w:anchor="_Toc25850939" w:history="1">
        <w:r w:rsidRPr="00FC7066">
          <w:rPr>
            <w:rStyle w:val="Hyperlink"/>
            <w:smallCaps/>
            <w:noProof/>
          </w:rPr>
          <w:t>3.1.5.</w:t>
        </w:r>
        <w:r>
          <w:rPr>
            <w:rFonts w:asciiTheme="minorHAnsi" w:eastAsiaTheme="minorEastAsia" w:hAnsiTheme="minorHAnsi" w:cstheme="minorBidi"/>
            <w:noProof/>
            <w:sz w:val="22"/>
            <w:szCs w:val="22"/>
          </w:rPr>
          <w:tab/>
        </w:r>
        <w:r w:rsidRPr="00FC7066">
          <w:rPr>
            <w:rStyle w:val="Hyperlink"/>
            <w:smallCaps/>
            <w:noProof/>
          </w:rPr>
          <w:t>Biju Sahanchal Vidyut karan Yojana (BSVY)</w:t>
        </w:r>
        <w:r>
          <w:rPr>
            <w:noProof/>
            <w:webHidden/>
          </w:rPr>
          <w:tab/>
        </w:r>
        <w:r>
          <w:rPr>
            <w:noProof/>
            <w:webHidden/>
          </w:rPr>
          <w:fldChar w:fldCharType="begin"/>
        </w:r>
        <w:r>
          <w:rPr>
            <w:noProof/>
            <w:webHidden/>
          </w:rPr>
          <w:instrText xml:space="preserve"> PAGEREF _Toc25850939 \h </w:instrText>
        </w:r>
        <w:r>
          <w:rPr>
            <w:noProof/>
            <w:webHidden/>
          </w:rPr>
        </w:r>
        <w:r>
          <w:rPr>
            <w:noProof/>
            <w:webHidden/>
          </w:rPr>
          <w:fldChar w:fldCharType="separate"/>
        </w:r>
        <w:r w:rsidR="00E011DF">
          <w:rPr>
            <w:noProof/>
            <w:webHidden/>
          </w:rPr>
          <w:t>34</w:t>
        </w:r>
        <w:r>
          <w:rPr>
            <w:noProof/>
            <w:webHidden/>
          </w:rPr>
          <w:fldChar w:fldCharType="end"/>
        </w:r>
      </w:hyperlink>
    </w:p>
    <w:p w:rsidR="00FE223B" w:rsidRDefault="00FE223B">
      <w:pPr>
        <w:pStyle w:val="TOC1"/>
        <w:tabs>
          <w:tab w:val="left" w:pos="880"/>
          <w:tab w:val="right" w:leader="dot" w:pos="9200"/>
        </w:tabs>
        <w:rPr>
          <w:rFonts w:asciiTheme="minorHAnsi" w:eastAsiaTheme="minorEastAsia" w:hAnsiTheme="minorHAnsi" w:cstheme="minorBidi"/>
          <w:noProof/>
          <w:sz w:val="22"/>
          <w:szCs w:val="22"/>
        </w:rPr>
      </w:pPr>
      <w:hyperlink w:anchor="_Toc25850940" w:history="1">
        <w:r w:rsidRPr="00FC7066">
          <w:rPr>
            <w:rStyle w:val="Hyperlink"/>
            <w:smallCaps/>
            <w:noProof/>
          </w:rPr>
          <w:t>3.1.6.</w:t>
        </w:r>
        <w:r>
          <w:rPr>
            <w:rFonts w:asciiTheme="minorHAnsi" w:eastAsiaTheme="minorEastAsia" w:hAnsiTheme="minorHAnsi" w:cstheme="minorBidi"/>
            <w:noProof/>
            <w:sz w:val="22"/>
            <w:szCs w:val="22"/>
          </w:rPr>
          <w:tab/>
        </w:r>
        <w:r w:rsidRPr="00FC7066">
          <w:rPr>
            <w:rStyle w:val="Hyperlink"/>
            <w:smallCaps/>
            <w:noProof/>
          </w:rPr>
          <w:t>Odisha Distribution System Strengthening Programme ( ODSSP  ):-</w:t>
        </w:r>
        <w:r>
          <w:rPr>
            <w:noProof/>
            <w:webHidden/>
          </w:rPr>
          <w:tab/>
        </w:r>
        <w:r>
          <w:rPr>
            <w:noProof/>
            <w:webHidden/>
          </w:rPr>
          <w:fldChar w:fldCharType="begin"/>
        </w:r>
        <w:r>
          <w:rPr>
            <w:noProof/>
            <w:webHidden/>
          </w:rPr>
          <w:instrText xml:space="preserve"> PAGEREF _Toc25850940 \h </w:instrText>
        </w:r>
        <w:r>
          <w:rPr>
            <w:noProof/>
            <w:webHidden/>
          </w:rPr>
        </w:r>
        <w:r>
          <w:rPr>
            <w:noProof/>
            <w:webHidden/>
          </w:rPr>
          <w:fldChar w:fldCharType="separate"/>
        </w:r>
        <w:r w:rsidR="00E011DF">
          <w:rPr>
            <w:noProof/>
            <w:webHidden/>
          </w:rPr>
          <w:t>35</w:t>
        </w:r>
        <w:r>
          <w:rPr>
            <w:noProof/>
            <w:webHidden/>
          </w:rPr>
          <w:fldChar w:fldCharType="end"/>
        </w:r>
      </w:hyperlink>
    </w:p>
    <w:p w:rsidR="00FE223B" w:rsidRDefault="00FE223B">
      <w:pPr>
        <w:pStyle w:val="TOC1"/>
        <w:tabs>
          <w:tab w:val="left" w:pos="880"/>
          <w:tab w:val="right" w:leader="dot" w:pos="9200"/>
        </w:tabs>
        <w:rPr>
          <w:rFonts w:asciiTheme="minorHAnsi" w:eastAsiaTheme="minorEastAsia" w:hAnsiTheme="minorHAnsi" w:cstheme="minorBidi"/>
          <w:noProof/>
          <w:sz w:val="22"/>
          <w:szCs w:val="22"/>
        </w:rPr>
      </w:pPr>
      <w:hyperlink w:anchor="_Toc25850941" w:history="1">
        <w:r w:rsidRPr="00FC7066">
          <w:rPr>
            <w:rStyle w:val="Hyperlink"/>
            <w:smallCaps/>
            <w:noProof/>
          </w:rPr>
          <w:t>3.1.7.</w:t>
        </w:r>
        <w:r>
          <w:rPr>
            <w:rFonts w:asciiTheme="minorHAnsi" w:eastAsiaTheme="minorEastAsia" w:hAnsiTheme="minorHAnsi" w:cstheme="minorBidi"/>
            <w:noProof/>
            <w:sz w:val="22"/>
            <w:szCs w:val="22"/>
          </w:rPr>
          <w:tab/>
        </w:r>
        <w:r w:rsidRPr="00FC7066">
          <w:rPr>
            <w:rStyle w:val="Hyperlink"/>
            <w:smallCaps/>
            <w:noProof/>
          </w:rPr>
          <w:t>Shifting of Lines and Transformers from the premises of School and Anganwadi Centres</w:t>
        </w:r>
        <w:r>
          <w:rPr>
            <w:noProof/>
            <w:webHidden/>
          </w:rPr>
          <w:tab/>
        </w:r>
        <w:r>
          <w:rPr>
            <w:noProof/>
            <w:webHidden/>
          </w:rPr>
          <w:fldChar w:fldCharType="begin"/>
        </w:r>
        <w:r>
          <w:rPr>
            <w:noProof/>
            <w:webHidden/>
          </w:rPr>
          <w:instrText xml:space="preserve"> PAGEREF _Toc25850941 \h </w:instrText>
        </w:r>
        <w:r>
          <w:rPr>
            <w:noProof/>
            <w:webHidden/>
          </w:rPr>
        </w:r>
        <w:r>
          <w:rPr>
            <w:noProof/>
            <w:webHidden/>
          </w:rPr>
          <w:fldChar w:fldCharType="separate"/>
        </w:r>
        <w:r w:rsidR="00E011DF">
          <w:rPr>
            <w:noProof/>
            <w:webHidden/>
          </w:rPr>
          <w:t>35</w:t>
        </w:r>
        <w:r>
          <w:rPr>
            <w:noProof/>
            <w:webHidden/>
          </w:rPr>
          <w:fldChar w:fldCharType="end"/>
        </w:r>
      </w:hyperlink>
    </w:p>
    <w:p w:rsidR="00FE223B" w:rsidRDefault="00FE223B">
      <w:pPr>
        <w:pStyle w:val="TOC1"/>
        <w:tabs>
          <w:tab w:val="left" w:pos="880"/>
          <w:tab w:val="right" w:leader="dot" w:pos="9200"/>
        </w:tabs>
        <w:rPr>
          <w:rFonts w:asciiTheme="minorHAnsi" w:eastAsiaTheme="minorEastAsia" w:hAnsiTheme="minorHAnsi" w:cstheme="minorBidi"/>
          <w:noProof/>
          <w:sz w:val="22"/>
          <w:szCs w:val="22"/>
        </w:rPr>
      </w:pPr>
      <w:hyperlink w:anchor="_Toc25850942" w:history="1">
        <w:r w:rsidRPr="00FC7066">
          <w:rPr>
            <w:rStyle w:val="Hyperlink"/>
            <w:smallCaps/>
            <w:noProof/>
          </w:rPr>
          <w:t>3.1.8.</w:t>
        </w:r>
        <w:r>
          <w:rPr>
            <w:rFonts w:asciiTheme="minorHAnsi" w:eastAsiaTheme="minorEastAsia" w:hAnsiTheme="minorHAnsi" w:cstheme="minorBidi"/>
            <w:noProof/>
            <w:sz w:val="22"/>
            <w:szCs w:val="22"/>
          </w:rPr>
          <w:tab/>
        </w:r>
        <w:r w:rsidRPr="00FC7066">
          <w:rPr>
            <w:rStyle w:val="Hyperlink"/>
            <w:smallCaps/>
            <w:noProof/>
          </w:rPr>
          <w:t>Separate Dedicated Pisciculture feeder:-</w:t>
        </w:r>
        <w:r>
          <w:rPr>
            <w:noProof/>
            <w:webHidden/>
          </w:rPr>
          <w:tab/>
        </w:r>
        <w:r>
          <w:rPr>
            <w:noProof/>
            <w:webHidden/>
          </w:rPr>
          <w:fldChar w:fldCharType="begin"/>
        </w:r>
        <w:r>
          <w:rPr>
            <w:noProof/>
            <w:webHidden/>
          </w:rPr>
          <w:instrText xml:space="preserve"> PAGEREF _Toc25850942 \h </w:instrText>
        </w:r>
        <w:r>
          <w:rPr>
            <w:noProof/>
            <w:webHidden/>
          </w:rPr>
        </w:r>
        <w:r>
          <w:rPr>
            <w:noProof/>
            <w:webHidden/>
          </w:rPr>
          <w:fldChar w:fldCharType="separate"/>
        </w:r>
        <w:r w:rsidR="00E011DF">
          <w:rPr>
            <w:noProof/>
            <w:webHidden/>
          </w:rPr>
          <w:t>35</w:t>
        </w:r>
        <w:r>
          <w:rPr>
            <w:noProof/>
            <w:webHidden/>
          </w:rPr>
          <w:fldChar w:fldCharType="end"/>
        </w:r>
      </w:hyperlink>
    </w:p>
    <w:p w:rsidR="00FE223B" w:rsidRDefault="00FE223B">
      <w:pPr>
        <w:pStyle w:val="TOC1"/>
        <w:tabs>
          <w:tab w:val="left" w:pos="880"/>
          <w:tab w:val="right" w:leader="dot" w:pos="9200"/>
        </w:tabs>
        <w:rPr>
          <w:rFonts w:asciiTheme="minorHAnsi" w:eastAsiaTheme="minorEastAsia" w:hAnsiTheme="minorHAnsi" w:cstheme="minorBidi"/>
          <w:noProof/>
          <w:sz w:val="22"/>
          <w:szCs w:val="22"/>
        </w:rPr>
      </w:pPr>
      <w:hyperlink w:anchor="_Toc25850943" w:history="1">
        <w:r w:rsidRPr="00FC7066">
          <w:rPr>
            <w:rStyle w:val="Hyperlink"/>
            <w:smallCaps/>
            <w:noProof/>
          </w:rPr>
          <w:t>3.1.9.</w:t>
        </w:r>
        <w:r>
          <w:rPr>
            <w:rFonts w:asciiTheme="minorHAnsi" w:eastAsiaTheme="minorEastAsia" w:hAnsiTheme="minorHAnsi" w:cstheme="minorBidi"/>
            <w:noProof/>
            <w:sz w:val="22"/>
            <w:szCs w:val="22"/>
          </w:rPr>
          <w:tab/>
        </w:r>
        <w:r w:rsidRPr="00FC7066">
          <w:rPr>
            <w:rStyle w:val="Hyperlink"/>
            <w:smallCaps/>
            <w:noProof/>
          </w:rPr>
          <w:t>Strengthening of Electrical network inside Elephant Corridor:-</w:t>
        </w:r>
        <w:r>
          <w:rPr>
            <w:noProof/>
            <w:webHidden/>
          </w:rPr>
          <w:tab/>
        </w:r>
        <w:r>
          <w:rPr>
            <w:noProof/>
            <w:webHidden/>
          </w:rPr>
          <w:fldChar w:fldCharType="begin"/>
        </w:r>
        <w:r>
          <w:rPr>
            <w:noProof/>
            <w:webHidden/>
          </w:rPr>
          <w:instrText xml:space="preserve"> PAGEREF _Toc25850943 \h </w:instrText>
        </w:r>
        <w:r>
          <w:rPr>
            <w:noProof/>
            <w:webHidden/>
          </w:rPr>
        </w:r>
        <w:r>
          <w:rPr>
            <w:noProof/>
            <w:webHidden/>
          </w:rPr>
          <w:fldChar w:fldCharType="separate"/>
        </w:r>
        <w:r w:rsidR="00E011DF">
          <w:rPr>
            <w:noProof/>
            <w:webHidden/>
          </w:rPr>
          <w:t>36</w:t>
        </w:r>
        <w:r>
          <w:rPr>
            <w:noProof/>
            <w:webHidden/>
          </w:rPr>
          <w:fldChar w:fldCharType="end"/>
        </w:r>
      </w:hyperlink>
    </w:p>
    <w:p w:rsidR="00FE223B" w:rsidRDefault="00FE223B">
      <w:pPr>
        <w:pStyle w:val="TOC1"/>
        <w:tabs>
          <w:tab w:val="left" w:pos="1100"/>
          <w:tab w:val="right" w:leader="dot" w:pos="9200"/>
        </w:tabs>
        <w:rPr>
          <w:rFonts w:asciiTheme="minorHAnsi" w:eastAsiaTheme="minorEastAsia" w:hAnsiTheme="minorHAnsi" w:cstheme="minorBidi"/>
          <w:noProof/>
          <w:sz w:val="22"/>
          <w:szCs w:val="22"/>
        </w:rPr>
      </w:pPr>
      <w:hyperlink w:anchor="_Toc25850944" w:history="1">
        <w:r w:rsidRPr="00FC7066">
          <w:rPr>
            <w:rStyle w:val="Hyperlink"/>
            <w:smallCaps/>
            <w:noProof/>
          </w:rPr>
          <w:t>3.1.10.</w:t>
        </w:r>
        <w:r>
          <w:rPr>
            <w:rFonts w:asciiTheme="minorHAnsi" w:eastAsiaTheme="minorEastAsia" w:hAnsiTheme="minorHAnsi" w:cstheme="minorBidi"/>
            <w:noProof/>
            <w:sz w:val="22"/>
            <w:szCs w:val="22"/>
          </w:rPr>
          <w:tab/>
        </w:r>
        <w:r w:rsidRPr="00FC7066">
          <w:rPr>
            <w:rStyle w:val="Hyperlink"/>
            <w:smallCaps/>
            <w:noProof/>
          </w:rPr>
          <w:t>Underground Cabling System at Baripada Ratha danda:-</w:t>
        </w:r>
        <w:r>
          <w:rPr>
            <w:noProof/>
            <w:webHidden/>
          </w:rPr>
          <w:tab/>
        </w:r>
        <w:r>
          <w:rPr>
            <w:noProof/>
            <w:webHidden/>
          </w:rPr>
          <w:fldChar w:fldCharType="begin"/>
        </w:r>
        <w:r>
          <w:rPr>
            <w:noProof/>
            <w:webHidden/>
          </w:rPr>
          <w:instrText xml:space="preserve"> PAGEREF _Toc25850944 \h </w:instrText>
        </w:r>
        <w:r>
          <w:rPr>
            <w:noProof/>
            <w:webHidden/>
          </w:rPr>
        </w:r>
        <w:r>
          <w:rPr>
            <w:noProof/>
            <w:webHidden/>
          </w:rPr>
          <w:fldChar w:fldCharType="separate"/>
        </w:r>
        <w:r w:rsidR="00E011DF">
          <w:rPr>
            <w:noProof/>
            <w:webHidden/>
          </w:rPr>
          <w:t>36</w:t>
        </w:r>
        <w:r>
          <w:rPr>
            <w:noProof/>
            <w:webHidden/>
          </w:rPr>
          <w:fldChar w:fldCharType="end"/>
        </w:r>
      </w:hyperlink>
    </w:p>
    <w:p w:rsidR="00FE223B" w:rsidRDefault="00FE223B">
      <w:pPr>
        <w:pStyle w:val="TOC1"/>
        <w:tabs>
          <w:tab w:val="left" w:pos="1100"/>
          <w:tab w:val="right" w:leader="dot" w:pos="9200"/>
        </w:tabs>
        <w:rPr>
          <w:rFonts w:asciiTheme="minorHAnsi" w:eastAsiaTheme="minorEastAsia" w:hAnsiTheme="minorHAnsi" w:cstheme="minorBidi"/>
          <w:noProof/>
          <w:sz w:val="22"/>
          <w:szCs w:val="22"/>
        </w:rPr>
      </w:pPr>
      <w:hyperlink w:anchor="_Toc25850945" w:history="1">
        <w:r w:rsidRPr="00FC7066">
          <w:rPr>
            <w:rStyle w:val="Hyperlink"/>
            <w:smallCaps/>
            <w:noProof/>
          </w:rPr>
          <w:t>3.1.11.</w:t>
        </w:r>
        <w:r>
          <w:rPr>
            <w:rFonts w:asciiTheme="minorHAnsi" w:eastAsiaTheme="minorEastAsia" w:hAnsiTheme="minorHAnsi" w:cstheme="minorBidi"/>
            <w:noProof/>
            <w:sz w:val="22"/>
            <w:szCs w:val="22"/>
          </w:rPr>
          <w:tab/>
        </w:r>
        <w:r w:rsidRPr="00FC7066">
          <w:rPr>
            <w:rStyle w:val="Hyperlink"/>
            <w:smallCaps/>
            <w:noProof/>
          </w:rPr>
          <w:t>LED Village:-</w:t>
        </w:r>
        <w:r>
          <w:rPr>
            <w:noProof/>
            <w:webHidden/>
          </w:rPr>
          <w:tab/>
        </w:r>
        <w:r>
          <w:rPr>
            <w:noProof/>
            <w:webHidden/>
          </w:rPr>
          <w:fldChar w:fldCharType="begin"/>
        </w:r>
        <w:r>
          <w:rPr>
            <w:noProof/>
            <w:webHidden/>
          </w:rPr>
          <w:instrText xml:space="preserve"> PAGEREF _Toc25850945 \h </w:instrText>
        </w:r>
        <w:r>
          <w:rPr>
            <w:noProof/>
            <w:webHidden/>
          </w:rPr>
        </w:r>
        <w:r>
          <w:rPr>
            <w:noProof/>
            <w:webHidden/>
          </w:rPr>
          <w:fldChar w:fldCharType="separate"/>
        </w:r>
        <w:r w:rsidR="00E011DF">
          <w:rPr>
            <w:noProof/>
            <w:webHidden/>
          </w:rPr>
          <w:t>37</w:t>
        </w:r>
        <w:r>
          <w:rPr>
            <w:noProof/>
            <w:webHidden/>
          </w:rPr>
          <w:fldChar w:fldCharType="end"/>
        </w:r>
      </w:hyperlink>
    </w:p>
    <w:p w:rsidR="00FE223B" w:rsidRDefault="00FE223B">
      <w:pPr>
        <w:pStyle w:val="TOC1"/>
        <w:tabs>
          <w:tab w:val="left" w:pos="1100"/>
          <w:tab w:val="right" w:leader="dot" w:pos="9200"/>
        </w:tabs>
        <w:rPr>
          <w:rFonts w:asciiTheme="minorHAnsi" w:eastAsiaTheme="minorEastAsia" w:hAnsiTheme="minorHAnsi" w:cstheme="minorBidi"/>
          <w:noProof/>
          <w:sz w:val="22"/>
          <w:szCs w:val="22"/>
        </w:rPr>
      </w:pPr>
      <w:hyperlink w:anchor="_Toc25850946" w:history="1">
        <w:r w:rsidRPr="00FC7066">
          <w:rPr>
            <w:rStyle w:val="Hyperlink"/>
            <w:smallCaps/>
            <w:noProof/>
          </w:rPr>
          <w:t>3.1.12.</w:t>
        </w:r>
        <w:r>
          <w:rPr>
            <w:rFonts w:asciiTheme="minorHAnsi" w:eastAsiaTheme="minorEastAsia" w:hAnsiTheme="minorHAnsi" w:cstheme="minorBidi"/>
            <w:noProof/>
            <w:sz w:val="22"/>
            <w:szCs w:val="22"/>
          </w:rPr>
          <w:tab/>
        </w:r>
        <w:r w:rsidRPr="00FC7066">
          <w:rPr>
            <w:rStyle w:val="Hyperlink"/>
            <w:smallCaps/>
            <w:noProof/>
          </w:rPr>
          <w:t>SAUBHAGYA:-</w:t>
        </w:r>
        <w:r>
          <w:rPr>
            <w:noProof/>
            <w:webHidden/>
          </w:rPr>
          <w:tab/>
        </w:r>
        <w:r>
          <w:rPr>
            <w:noProof/>
            <w:webHidden/>
          </w:rPr>
          <w:fldChar w:fldCharType="begin"/>
        </w:r>
        <w:r>
          <w:rPr>
            <w:noProof/>
            <w:webHidden/>
          </w:rPr>
          <w:instrText xml:space="preserve"> PAGEREF _Toc25850946 \h </w:instrText>
        </w:r>
        <w:r>
          <w:rPr>
            <w:noProof/>
            <w:webHidden/>
          </w:rPr>
        </w:r>
        <w:r>
          <w:rPr>
            <w:noProof/>
            <w:webHidden/>
          </w:rPr>
          <w:fldChar w:fldCharType="separate"/>
        </w:r>
        <w:r w:rsidR="00E011DF">
          <w:rPr>
            <w:noProof/>
            <w:webHidden/>
          </w:rPr>
          <w:t>37</w:t>
        </w:r>
        <w:r>
          <w:rPr>
            <w:noProof/>
            <w:webHidden/>
          </w:rPr>
          <w:fldChar w:fldCharType="end"/>
        </w:r>
      </w:hyperlink>
    </w:p>
    <w:p w:rsidR="00FE223B" w:rsidRDefault="00FE223B">
      <w:pPr>
        <w:pStyle w:val="TOC1"/>
        <w:tabs>
          <w:tab w:val="left" w:pos="480"/>
          <w:tab w:val="right" w:leader="dot" w:pos="9200"/>
        </w:tabs>
        <w:rPr>
          <w:rFonts w:asciiTheme="minorHAnsi" w:eastAsiaTheme="minorEastAsia" w:hAnsiTheme="minorHAnsi" w:cstheme="minorBidi"/>
          <w:noProof/>
          <w:sz w:val="22"/>
          <w:szCs w:val="22"/>
        </w:rPr>
      </w:pPr>
      <w:hyperlink w:anchor="_Toc25850947" w:history="1">
        <w:r w:rsidRPr="00FC7066">
          <w:rPr>
            <w:rStyle w:val="Hyperlink"/>
            <w:rFonts w:ascii="Cambria" w:hAnsi="Cambria"/>
            <w:noProof/>
          </w:rPr>
          <w:t>4.</w:t>
        </w:r>
        <w:r>
          <w:rPr>
            <w:rFonts w:asciiTheme="minorHAnsi" w:eastAsiaTheme="minorEastAsia" w:hAnsiTheme="minorHAnsi" w:cstheme="minorBidi"/>
            <w:noProof/>
            <w:sz w:val="22"/>
            <w:szCs w:val="22"/>
          </w:rPr>
          <w:tab/>
        </w:r>
        <w:r w:rsidRPr="00FC7066">
          <w:rPr>
            <w:rStyle w:val="Hyperlink"/>
            <w:rFonts w:ascii="Cambria" w:hAnsi="Cambria"/>
            <w:noProof/>
          </w:rPr>
          <w:t>Revenue and Current year GAP</w:t>
        </w:r>
        <w:r>
          <w:rPr>
            <w:noProof/>
            <w:webHidden/>
          </w:rPr>
          <w:tab/>
        </w:r>
        <w:r>
          <w:rPr>
            <w:noProof/>
            <w:webHidden/>
          </w:rPr>
          <w:fldChar w:fldCharType="begin"/>
        </w:r>
        <w:r>
          <w:rPr>
            <w:noProof/>
            <w:webHidden/>
          </w:rPr>
          <w:instrText xml:space="preserve"> PAGEREF _Toc25850947 \h </w:instrText>
        </w:r>
        <w:r>
          <w:rPr>
            <w:noProof/>
            <w:webHidden/>
          </w:rPr>
        </w:r>
        <w:r>
          <w:rPr>
            <w:noProof/>
            <w:webHidden/>
          </w:rPr>
          <w:fldChar w:fldCharType="separate"/>
        </w:r>
        <w:r w:rsidR="00E011DF">
          <w:rPr>
            <w:noProof/>
            <w:webHidden/>
          </w:rPr>
          <w:t>37</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48" w:history="1">
        <w:r w:rsidRPr="00FC7066">
          <w:rPr>
            <w:rStyle w:val="Hyperlink"/>
            <w:noProof/>
          </w:rPr>
          <w:t>4.1.</w:t>
        </w:r>
        <w:r>
          <w:rPr>
            <w:rFonts w:asciiTheme="minorHAnsi" w:eastAsiaTheme="minorEastAsia" w:hAnsiTheme="minorHAnsi" w:cstheme="minorBidi"/>
            <w:noProof/>
            <w:sz w:val="22"/>
            <w:szCs w:val="22"/>
          </w:rPr>
          <w:tab/>
        </w:r>
        <w:r w:rsidRPr="00FC7066">
          <w:rPr>
            <w:rStyle w:val="Hyperlink"/>
            <w:rFonts w:ascii="Cambria" w:hAnsi="Cambria"/>
            <w:noProof/>
          </w:rPr>
          <w:t>Non Tariff Income</w:t>
        </w:r>
        <w:r>
          <w:rPr>
            <w:noProof/>
            <w:webHidden/>
          </w:rPr>
          <w:tab/>
        </w:r>
        <w:r>
          <w:rPr>
            <w:noProof/>
            <w:webHidden/>
          </w:rPr>
          <w:fldChar w:fldCharType="begin"/>
        </w:r>
        <w:r>
          <w:rPr>
            <w:noProof/>
            <w:webHidden/>
          </w:rPr>
          <w:instrText xml:space="preserve"> PAGEREF _Toc25850948 \h </w:instrText>
        </w:r>
        <w:r>
          <w:rPr>
            <w:noProof/>
            <w:webHidden/>
          </w:rPr>
        </w:r>
        <w:r>
          <w:rPr>
            <w:noProof/>
            <w:webHidden/>
          </w:rPr>
          <w:fldChar w:fldCharType="separate"/>
        </w:r>
        <w:r w:rsidR="00E011DF">
          <w:rPr>
            <w:noProof/>
            <w:webHidden/>
          </w:rPr>
          <w:t>37</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49" w:history="1">
        <w:r w:rsidRPr="00FC7066">
          <w:rPr>
            <w:rStyle w:val="Hyperlink"/>
            <w:noProof/>
          </w:rPr>
          <w:t>4.2</w:t>
        </w:r>
        <w:r w:rsidRPr="00FC7066">
          <w:rPr>
            <w:rStyle w:val="Hyperlink"/>
            <w:rFonts w:ascii="Cambria" w:hAnsi="Cambria"/>
            <w:noProof/>
          </w:rPr>
          <w:t>.</w:t>
        </w:r>
        <w:r>
          <w:rPr>
            <w:rFonts w:asciiTheme="minorHAnsi" w:eastAsiaTheme="minorEastAsia" w:hAnsiTheme="minorHAnsi" w:cstheme="minorBidi"/>
            <w:noProof/>
            <w:sz w:val="22"/>
            <w:szCs w:val="22"/>
          </w:rPr>
          <w:tab/>
        </w:r>
        <w:r w:rsidRPr="00FC7066">
          <w:rPr>
            <w:rStyle w:val="Hyperlink"/>
            <w:rFonts w:ascii="Cambria" w:hAnsi="Cambria"/>
            <w:noProof/>
          </w:rPr>
          <w:t>Provision for Contingency Reserve</w:t>
        </w:r>
        <w:r>
          <w:rPr>
            <w:noProof/>
            <w:webHidden/>
          </w:rPr>
          <w:tab/>
        </w:r>
        <w:r>
          <w:rPr>
            <w:noProof/>
            <w:webHidden/>
          </w:rPr>
          <w:fldChar w:fldCharType="begin"/>
        </w:r>
        <w:r>
          <w:rPr>
            <w:noProof/>
            <w:webHidden/>
          </w:rPr>
          <w:instrText xml:space="preserve"> PAGEREF _Toc25850949 \h </w:instrText>
        </w:r>
        <w:r>
          <w:rPr>
            <w:noProof/>
            <w:webHidden/>
          </w:rPr>
        </w:r>
        <w:r>
          <w:rPr>
            <w:noProof/>
            <w:webHidden/>
          </w:rPr>
          <w:fldChar w:fldCharType="separate"/>
        </w:r>
        <w:r w:rsidR="00E011DF">
          <w:rPr>
            <w:noProof/>
            <w:webHidden/>
          </w:rPr>
          <w:t>37</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50" w:history="1">
        <w:r w:rsidRPr="00FC7066">
          <w:rPr>
            <w:rStyle w:val="Hyperlink"/>
            <w:rFonts w:ascii="Cambria" w:hAnsi="Cambria"/>
            <w:noProof/>
          </w:rPr>
          <w:t>4.3.</w:t>
        </w:r>
        <w:r>
          <w:rPr>
            <w:rFonts w:asciiTheme="minorHAnsi" w:eastAsiaTheme="minorEastAsia" w:hAnsiTheme="minorHAnsi" w:cstheme="minorBidi"/>
            <w:noProof/>
            <w:sz w:val="22"/>
            <w:szCs w:val="22"/>
          </w:rPr>
          <w:tab/>
        </w:r>
        <w:r w:rsidRPr="00FC7066">
          <w:rPr>
            <w:rStyle w:val="Hyperlink"/>
            <w:rFonts w:ascii="Cambria" w:hAnsi="Cambria"/>
            <w:noProof/>
          </w:rPr>
          <w:t>Reasonable Return</w:t>
        </w:r>
        <w:r>
          <w:rPr>
            <w:noProof/>
            <w:webHidden/>
          </w:rPr>
          <w:tab/>
        </w:r>
        <w:r>
          <w:rPr>
            <w:noProof/>
            <w:webHidden/>
          </w:rPr>
          <w:fldChar w:fldCharType="begin"/>
        </w:r>
        <w:r>
          <w:rPr>
            <w:noProof/>
            <w:webHidden/>
          </w:rPr>
          <w:instrText xml:space="preserve"> PAGEREF _Toc25850950 \h </w:instrText>
        </w:r>
        <w:r>
          <w:rPr>
            <w:noProof/>
            <w:webHidden/>
          </w:rPr>
        </w:r>
        <w:r>
          <w:rPr>
            <w:noProof/>
            <w:webHidden/>
          </w:rPr>
          <w:fldChar w:fldCharType="separate"/>
        </w:r>
        <w:r w:rsidR="00E011DF">
          <w:rPr>
            <w:noProof/>
            <w:webHidden/>
          </w:rPr>
          <w:t>38</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51" w:history="1">
        <w:r w:rsidRPr="00FC7066">
          <w:rPr>
            <w:rStyle w:val="Hyperlink"/>
            <w:rFonts w:ascii="Cambria" w:hAnsi="Cambria"/>
            <w:noProof/>
          </w:rPr>
          <w:t>4.4.</w:t>
        </w:r>
        <w:r>
          <w:rPr>
            <w:rFonts w:asciiTheme="minorHAnsi" w:eastAsiaTheme="minorEastAsia" w:hAnsiTheme="minorHAnsi" w:cstheme="minorBidi"/>
            <w:noProof/>
            <w:sz w:val="22"/>
            <w:szCs w:val="22"/>
          </w:rPr>
          <w:tab/>
        </w:r>
        <w:r w:rsidRPr="00FC7066">
          <w:rPr>
            <w:rStyle w:val="Hyperlink"/>
            <w:rFonts w:ascii="Cambria" w:hAnsi="Cambria"/>
            <w:noProof/>
          </w:rPr>
          <w:t>Current year FY 2019-20’s GAP</w:t>
        </w:r>
        <w:r>
          <w:rPr>
            <w:noProof/>
            <w:webHidden/>
          </w:rPr>
          <w:tab/>
        </w:r>
        <w:r>
          <w:rPr>
            <w:noProof/>
            <w:webHidden/>
          </w:rPr>
          <w:fldChar w:fldCharType="begin"/>
        </w:r>
        <w:r>
          <w:rPr>
            <w:noProof/>
            <w:webHidden/>
          </w:rPr>
          <w:instrText xml:space="preserve"> PAGEREF _Toc25850951 \h </w:instrText>
        </w:r>
        <w:r>
          <w:rPr>
            <w:noProof/>
            <w:webHidden/>
          </w:rPr>
        </w:r>
        <w:r>
          <w:rPr>
            <w:noProof/>
            <w:webHidden/>
          </w:rPr>
          <w:fldChar w:fldCharType="separate"/>
        </w:r>
        <w:r w:rsidR="00E011DF">
          <w:rPr>
            <w:noProof/>
            <w:webHidden/>
          </w:rPr>
          <w:t>39</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52" w:history="1">
        <w:r w:rsidRPr="00FC7066">
          <w:rPr>
            <w:rStyle w:val="Hyperlink"/>
            <w:rFonts w:ascii="Cambria" w:hAnsi="Cambria"/>
            <w:noProof/>
          </w:rPr>
          <w:t>4.5.</w:t>
        </w:r>
        <w:r>
          <w:rPr>
            <w:rFonts w:asciiTheme="minorHAnsi" w:eastAsiaTheme="minorEastAsia" w:hAnsiTheme="minorHAnsi" w:cstheme="minorBidi"/>
            <w:noProof/>
            <w:sz w:val="22"/>
            <w:szCs w:val="22"/>
          </w:rPr>
          <w:tab/>
        </w:r>
        <w:r w:rsidRPr="00FC7066">
          <w:rPr>
            <w:rStyle w:val="Hyperlink"/>
            <w:rFonts w:ascii="Cambria" w:hAnsi="Cambria"/>
            <w:noProof/>
          </w:rPr>
          <w:t>Revenue at Existing Tariffs</w:t>
        </w:r>
        <w:r>
          <w:rPr>
            <w:noProof/>
            <w:webHidden/>
          </w:rPr>
          <w:tab/>
        </w:r>
        <w:r>
          <w:rPr>
            <w:noProof/>
            <w:webHidden/>
          </w:rPr>
          <w:fldChar w:fldCharType="begin"/>
        </w:r>
        <w:r>
          <w:rPr>
            <w:noProof/>
            <w:webHidden/>
          </w:rPr>
          <w:instrText xml:space="preserve"> PAGEREF _Toc25850952 \h </w:instrText>
        </w:r>
        <w:r>
          <w:rPr>
            <w:noProof/>
            <w:webHidden/>
          </w:rPr>
        </w:r>
        <w:r>
          <w:rPr>
            <w:noProof/>
            <w:webHidden/>
          </w:rPr>
          <w:fldChar w:fldCharType="separate"/>
        </w:r>
        <w:r w:rsidR="00E011DF">
          <w:rPr>
            <w:noProof/>
            <w:webHidden/>
          </w:rPr>
          <w:t>40</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53" w:history="1">
        <w:r w:rsidRPr="00FC7066">
          <w:rPr>
            <w:rStyle w:val="Hyperlink"/>
            <w:rFonts w:ascii="Cambria" w:hAnsi="Cambria"/>
            <w:noProof/>
          </w:rPr>
          <w:t>4.6.</w:t>
        </w:r>
        <w:r>
          <w:rPr>
            <w:rFonts w:asciiTheme="minorHAnsi" w:eastAsiaTheme="minorEastAsia" w:hAnsiTheme="minorHAnsi" w:cstheme="minorBidi"/>
            <w:noProof/>
            <w:sz w:val="22"/>
            <w:szCs w:val="22"/>
          </w:rPr>
          <w:tab/>
        </w:r>
        <w:r w:rsidRPr="00FC7066">
          <w:rPr>
            <w:rStyle w:val="Hyperlink"/>
            <w:rFonts w:ascii="Cambria" w:hAnsi="Cambria"/>
            <w:noProof/>
          </w:rPr>
          <w:t>Summary of Annual Revenue Requirement and Revenue Gap</w:t>
        </w:r>
        <w:r>
          <w:rPr>
            <w:noProof/>
            <w:webHidden/>
          </w:rPr>
          <w:tab/>
        </w:r>
        <w:r>
          <w:rPr>
            <w:noProof/>
            <w:webHidden/>
          </w:rPr>
          <w:fldChar w:fldCharType="begin"/>
        </w:r>
        <w:r>
          <w:rPr>
            <w:noProof/>
            <w:webHidden/>
          </w:rPr>
          <w:instrText xml:space="preserve"> PAGEREF _Toc25850953 \h </w:instrText>
        </w:r>
        <w:r>
          <w:rPr>
            <w:noProof/>
            <w:webHidden/>
          </w:rPr>
        </w:r>
        <w:r>
          <w:rPr>
            <w:noProof/>
            <w:webHidden/>
          </w:rPr>
          <w:fldChar w:fldCharType="separate"/>
        </w:r>
        <w:r w:rsidR="00E011DF">
          <w:rPr>
            <w:noProof/>
            <w:webHidden/>
          </w:rPr>
          <w:t>40</w:t>
        </w:r>
        <w:r>
          <w:rPr>
            <w:noProof/>
            <w:webHidden/>
          </w:rPr>
          <w:fldChar w:fldCharType="end"/>
        </w:r>
      </w:hyperlink>
    </w:p>
    <w:p w:rsidR="00FE223B" w:rsidRDefault="00FE223B">
      <w:pPr>
        <w:pStyle w:val="TOC1"/>
        <w:tabs>
          <w:tab w:val="left" w:pos="480"/>
          <w:tab w:val="right" w:leader="dot" w:pos="9200"/>
        </w:tabs>
        <w:rPr>
          <w:rFonts w:asciiTheme="minorHAnsi" w:eastAsiaTheme="minorEastAsia" w:hAnsiTheme="minorHAnsi" w:cstheme="minorBidi"/>
          <w:noProof/>
          <w:sz w:val="22"/>
          <w:szCs w:val="22"/>
        </w:rPr>
      </w:pPr>
      <w:hyperlink w:anchor="_Toc25850954" w:history="1">
        <w:r w:rsidRPr="00FC7066">
          <w:rPr>
            <w:rStyle w:val="Hyperlink"/>
            <w:rFonts w:ascii="Calibri" w:hAnsi="Calibri" w:cs="Calibri"/>
            <w:noProof/>
          </w:rPr>
          <w:t>5.</w:t>
        </w:r>
        <w:r>
          <w:rPr>
            <w:rFonts w:asciiTheme="minorHAnsi" w:eastAsiaTheme="minorEastAsia" w:hAnsiTheme="minorHAnsi" w:cstheme="minorBidi"/>
            <w:noProof/>
            <w:sz w:val="22"/>
            <w:szCs w:val="22"/>
          </w:rPr>
          <w:tab/>
        </w:r>
        <w:r w:rsidRPr="00FC7066">
          <w:rPr>
            <w:rStyle w:val="Hyperlink"/>
            <w:rFonts w:ascii="Cambria" w:hAnsi="Cambria" w:cs="Calibri"/>
            <w:noProof/>
          </w:rPr>
          <w:t>Initiatives</w:t>
        </w:r>
        <w:r w:rsidRPr="00FC7066">
          <w:rPr>
            <w:rStyle w:val="Hyperlink"/>
            <w:rFonts w:ascii="Calibri" w:hAnsi="Calibri" w:cs="Calibri"/>
            <w:noProof/>
          </w:rPr>
          <w:t xml:space="preserve"> </w:t>
        </w:r>
        <w:r w:rsidRPr="00FC7066">
          <w:rPr>
            <w:rStyle w:val="Hyperlink"/>
            <w:rFonts w:ascii="Cambria" w:hAnsi="Cambria" w:cs="Calibri"/>
            <w:noProof/>
          </w:rPr>
          <w:t>by Utility &amp; Other performance improvement measures</w:t>
        </w:r>
        <w:r>
          <w:rPr>
            <w:noProof/>
            <w:webHidden/>
          </w:rPr>
          <w:tab/>
        </w:r>
        <w:r>
          <w:rPr>
            <w:noProof/>
            <w:webHidden/>
          </w:rPr>
          <w:fldChar w:fldCharType="begin"/>
        </w:r>
        <w:r>
          <w:rPr>
            <w:noProof/>
            <w:webHidden/>
          </w:rPr>
          <w:instrText xml:space="preserve"> PAGEREF _Toc25850954 \h </w:instrText>
        </w:r>
        <w:r>
          <w:rPr>
            <w:noProof/>
            <w:webHidden/>
          </w:rPr>
        </w:r>
        <w:r>
          <w:rPr>
            <w:noProof/>
            <w:webHidden/>
          </w:rPr>
          <w:fldChar w:fldCharType="separate"/>
        </w:r>
        <w:r w:rsidR="00E011DF">
          <w:rPr>
            <w:noProof/>
            <w:webHidden/>
          </w:rPr>
          <w:t>41</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55" w:history="1">
        <w:r w:rsidRPr="00FC7066">
          <w:rPr>
            <w:rStyle w:val="Hyperlink"/>
            <w:rFonts w:ascii="Cambria" w:hAnsi="Cambria"/>
            <w:noProof/>
          </w:rPr>
          <w:t>5.1.</w:t>
        </w:r>
        <w:r>
          <w:rPr>
            <w:rFonts w:asciiTheme="minorHAnsi" w:eastAsiaTheme="minorEastAsia" w:hAnsiTheme="minorHAnsi" w:cstheme="minorBidi"/>
            <w:noProof/>
            <w:sz w:val="22"/>
            <w:szCs w:val="22"/>
          </w:rPr>
          <w:tab/>
        </w:r>
        <w:r w:rsidRPr="00FC7066">
          <w:rPr>
            <w:rStyle w:val="Hyperlink"/>
            <w:rFonts w:ascii="Cambria" w:hAnsi="Cambria"/>
            <w:noProof/>
          </w:rPr>
          <w:t>Compliance to OERC Directions</w:t>
        </w:r>
        <w:r>
          <w:rPr>
            <w:noProof/>
            <w:webHidden/>
          </w:rPr>
          <w:tab/>
        </w:r>
        <w:r>
          <w:rPr>
            <w:noProof/>
            <w:webHidden/>
          </w:rPr>
          <w:fldChar w:fldCharType="begin"/>
        </w:r>
        <w:r>
          <w:rPr>
            <w:noProof/>
            <w:webHidden/>
          </w:rPr>
          <w:instrText xml:space="preserve"> PAGEREF _Toc25850955 \h </w:instrText>
        </w:r>
        <w:r>
          <w:rPr>
            <w:noProof/>
            <w:webHidden/>
          </w:rPr>
        </w:r>
        <w:r>
          <w:rPr>
            <w:noProof/>
            <w:webHidden/>
          </w:rPr>
          <w:fldChar w:fldCharType="separate"/>
        </w:r>
        <w:r w:rsidR="00E011DF">
          <w:rPr>
            <w:noProof/>
            <w:webHidden/>
          </w:rPr>
          <w:t>41</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56" w:history="1">
        <w:r w:rsidRPr="00FC7066">
          <w:rPr>
            <w:rStyle w:val="Hyperlink"/>
            <w:rFonts w:ascii="Cambria" w:hAnsi="Cambria"/>
            <w:noProof/>
          </w:rPr>
          <w:t>5.2.</w:t>
        </w:r>
        <w:r>
          <w:rPr>
            <w:rFonts w:asciiTheme="minorHAnsi" w:eastAsiaTheme="minorEastAsia" w:hAnsiTheme="minorHAnsi" w:cstheme="minorBidi"/>
            <w:noProof/>
            <w:sz w:val="22"/>
            <w:szCs w:val="22"/>
          </w:rPr>
          <w:tab/>
        </w:r>
        <w:r w:rsidRPr="00FC7066">
          <w:rPr>
            <w:rStyle w:val="Hyperlink"/>
            <w:rFonts w:ascii="Cambria" w:hAnsi="Cambria"/>
            <w:noProof/>
          </w:rPr>
          <w:t>Various Payment Options</w:t>
        </w:r>
        <w:r>
          <w:rPr>
            <w:noProof/>
            <w:webHidden/>
          </w:rPr>
          <w:tab/>
        </w:r>
        <w:r>
          <w:rPr>
            <w:noProof/>
            <w:webHidden/>
          </w:rPr>
          <w:fldChar w:fldCharType="begin"/>
        </w:r>
        <w:r>
          <w:rPr>
            <w:noProof/>
            <w:webHidden/>
          </w:rPr>
          <w:instrText xml:space="preserve"> PAGEREF _Toc25850956 \h </w:instrText>
        </w:r>
        <w:r>
          <w:rPr>
            <w:noProof/>
            <w:webHidden/>
          </w:rPr>
        </w:r>
        <w:r>
          <w:rPr>
            <w:noProof/>
            <w:webHidden/>
          </w:rPr>
          <w:fldChar w:fldCharType="separate"/>
        </w:r>
        <w:r w:rsidR="00E011DF">
          <w:rPr>
            <w:noProof/>
            <w:webHidden/>
          </w:rPr>
          <w:t>46</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57" w:history="1">
        <w:r w:rsidRPr="00FC7066">
          <w:rPr>
            <w:rStyle w:val="Hyperlink"/>
            <w:rFonts w:ascii="Cambria" w:hAnsi="Cambria"/>
            <w:noProof/>
          </w:rPr>
          <w:t>5.3.</w:t>
        </w:r>
        <w:r>
          <w:rPr>
            <w:rFonts w:asciiTheme="minorHAnsi" w:eastAsiaTheme="minorEastAsia" w:hAnsiTheme="minorHAnsi" w:cstheme="minorBidi"/>
            <w:noProof/>
            <w:sz w:val="22"/>
            <w:szCs w:val="22"/>
          </w:rPr>
          <w:tab/>
        </w:r>
        <w:r w:rsidRPr="00FC7066">
          <w:rPr>
            <w:rStyle w:val="Hyperlink"/>
            <w:rFonts w:ascii="Cambria" w:hAnsi="Cambria"/>
            <w:noProof/>
          </w:rPr>
          <w:t>Development of Franchisee in Utility Area</w:t>
        </w:r>
        <w:r>
          <w:rPr>
            <w:noProof/>
            <w:webHidden/>
          </w:rPr>
          <w:tab/>
        </w:r>
        <w:r>
          <w:rPr>
            <w:noProof/>
            <w:webHidden/>
          </w:rPr>
          <w:fldChar w:fldCharType="begin"/>
        </w:r>
        <w:r>
          <w:rPr>
            <w:noProof/>
            <w:webHidden/>
          </w:rPr>
          <w:instrText xml:space="preserve"> PAGEREF _Toc25850957 \h </w:instrText>
        </w:r>
        <w:r>
          <w:rPr>
            <w:noProof/>
            <w:webHidden/>
          </w:rPr>
        </w:r>
        <w:r>
          <w:rPr>
            <w:noProof/>
            <w:webHidden/>
          </w:rPr>
          <w:fldChar w:fldCharType="separate"/>
        </w:r>
        <w:r w:rsidR="00E011DF">
          <w:rPr>
            <w:noProof/>
            <w:webHidden/>
          </w:rPr>
          <w:t>47</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58" w:history="1">
        <w:r w:rsidRPr="00FC7066">
          <w:rPr>
            <w:rStyle w:val="Hyperlink"/>
            <w:rFonts w:ascii="Cambria" w:hAnsi="Cambria"/>
            <w:noProof/>
          </w:rPr>
          <w:t>5.4.</w:t>
        </w:r>
        <w:r>
          <w:rPr>
            <w:rFonts w:asciiTheme="minorHAnsi" w:eastAsiaTheme="minorEastAsia" w:hAnsiTheme="minorHAnsi" w:cstheme="minorBidi"/>
            <w:noProof/>
            <w:sz w:val="22"/>
            <w:szCs w:val="22"/>
          </w:rPr>
          <w:tab/>
        </w:r>
        <w:r w:rsidRPr="00FC7066">
          <w:rPr>
            <w:rStyle w:val="Hyperlink"/>
            <w:rFonts w:ascii="Cambria" w:hAnsi="Cambria"/>
            <w:noProof/>
          </w:rPr>
          <w:t>Action plan for Revenue Improvement:</w:t>
        </w:r>
        <w:r>
          <w:rPr>
            <w:noProof/>
            <w:webHidden/>
          </w:rPr>
          <w:tab/>
        </w:r>
        <w:r>
          <w:rPr>
            <w:noProof/>
            <w:webHidden/>
          </w:rPr>
          <w:fldChar w:fldCharType="begin"/>
        </w:r>
        <w:r>
          <w:rPr>
            <w:noProof/>
            <w:webHidden/>
          </w:rPr>
          <w:instrText xml:space="preserve"> PAGEREF _Toc25850958 \h </w:instrText>
        </w:r>
        <w:r>
          <w:rPr>
            <w:noProof/>
            <w:webHidden/>
          </w:rPr>
        </w:r>
        <w:r>
          <w:rPr>
            <w:noProof/>
            <w:webHidden/>
          </w:rPr>
          <w:fldChar w:fldCharType="separate"/>
        </w:r>
        <w:r w:rsidR="00E011DF">
          <w:rPr>
            <w:noProof/>
            <w:webHidden/>
          </w:rPr>
          <w:t>51</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59" w:history="1">
        <w:r w:rsidRPr="00FC7066">
          <w:rPr>
            <w:rStyle w:val="Hyperlink"/>
            <w:rFonts w:ascii="Cambria" w:hAnsi="Cambria"/>
            <w:noProof/>
          </w:rPr>
          <w:t>5.5.</w:t>
        </w:r>
        <w:r>
          <w:rPr>
            <w:rFonts w:asciiTheme="minorHAnsi" w:eastAsiaTheme="minorEastAsia" w:hAnsiTheme="minorHAnsi" w:cstheme="minorBidi"/>
            <w:noProof/>
            <w:sz w:val="22"/>
            <w:szCs w:val="22"/>
          </w:rPr>
          <w:tab/>
        </w:r>
        <w:r w:rsidRPr="00FC7066">
          <w:rPr>
            <w:rStyle w:val="Hyperlink"/>
            <w:rFonts w:ascii="Cambria" w:hAnsi="Cambria"/>
            <w:noProof/>
          </w:rPr>
          <w:t>Escrow Relaxation for Spot Billing and Collection Charges for revenue improvement</w:t>
        </w:r>
        <w:r>
          <w:rPr>
            <w:noProof/>
            <w:webHidden/>
          </w:rPr>
          <w:tab/>
        </w:r>
        <w:r>
          <w:rPr>
            <w:noProof/>
            <w:webHidden/>
          </w:rPr>
          <w:fldChar w:fldCharType="begin"/>
        </w:r>
        <w:r>
          <w:rPr>
            <w:noProof/>
            <w:webHidden/>
          </w:rPr>
          <w:instrText xml:space="preserve"> PAGEREF _Toc25850959 \h </w:instrText>
        </w:r>
        <w:r>
          <w:rPr>
            <w:noProof/>
            <w:webHidden/>
          </w:rPr>
        </w:r>
        <w:r>
          <w:rPr>
            <w:noProof/>
            <w:webHidden/>
          </w:rPr>
          <w:fldChar w:fldCharType="separate"/>
        </w:r>
        <w:r w:rsidR="00E011DF">
          <w:rPr>
            <w:noProof/>
            <w:webHidden/>
          </w:rPr>
          <w:t>53</w:t>
        </w:r>
        <w:r>
          <w:rPr>
            <w:noProof/>
            <w:webHidden/>
          </w:rPr>
          <w:fldChar w:fldCharType="end"/>
        </w:r>
      </w:hyperlink>
    </w:p>
    <w:p w:rsidR="00FE223B" w:rsidRDefault="00FE223B">
      <w:pPr>
        <w:pStyle w:val="TOC1"/>
        <w:tabs>
          <w:tab w:val="left" w:pos="480"/>
          <w:tab w:val="right" w:leader="dot" w:pos="9200"/>
        </w:tabs>
        <w:rPr>
          <w:rFonts w:asciiTheme="minorHAnsi" w:eastAsiaTheme="minorEastAsia" w:hAnsiTheme="minorHAnsi" w:cstheme="minorBidi"/>
          <w:noProof/>
          <w:sz w:val="22"/>
          <w:szCs w:val="22"/>
        </w:rPr>
      </w:pPr>
      <w:hyperlink w:anchor="_Toc25850961" w:history="1">
        <w:r w:rsidRPr="00FC7066">
          <w:rPr>
            <w:rStyle w:val="Hyperlink"/>
            <w:rFonts w:ascii="Cambria" w:hAnsi="Cambria"/>
            <w:noProof/>
          </w:rPr>
          <w:t>6.</w:t>
        </w:r>
        <w:r>
          <w:rPr>
            <w:rFonts w:asciiTheme="minorHAnsi" w:eastAsiaTheme="minorEastAsia" w:hAnsiTheme="minorHAnsi" w:cstheme="minorBidi"/>
            <w:noProof/>
            <w:sz w:val="22"/>
            <w:szCs w:val="22"/>
          </w:rPr>
          <w:tab/>
        </w:r>
        <w:r w:rsidRPr="00FC7066">
          <w:rPr>
            <w:rStyle w:val="Hyperlink"/>
            <w:rFonts w:ascii="Cambria" w:hAnsi="Cambria"/>
            <w:noProof/>
          </w:rPr>
          <w:t>Allocation of Wheeling and Retail supply cost</w:t>
        </w:r>
        <w:r>
          <w:rPr>
            <w:noProof/>
            <w:webHidden/>
          </w:rPr>
          <w:tab/>
        </w:r>
        <w:r>
          <w:rPr>
            <w:noProof/>
            <w:webHidden/>
          </w:rPr>
          <w:fldChar w:fldCharType="begin"/>
        </w:r>
        <w:r>
          <w:rPr>
            <w:noProof/>
            <w:webHidden/>
          </w:rPr>
          <w:instrText xml:space="preserve"> PAGEREF _Toc25850961 \h </w:instrText>
        </w:r>
        <w:r>
          <w:rPr>
            <w:noProof/>
            <w:webHidden/>
          </w:rPr>
        </w:r>
        <w:r>
          <w:rPr>
            <w:noProof/>
            <w:webHidden/>
          </w:rPr>
          <w:fldChar w:fldCharType="separate"/>
        </w:r>
        <w:r w:rsidR="00E011DF">
          <w:rPr>
            <w:noProof/>
            <w:webHidden/>
          </w:rPr>
          <w:t>53</w:t>
        </w:r>
        <w:r>
          <w:rPr>
            <w:noProof/>
            <w:webHidden/>
          </w:rPr>
          <w:fldChar w:fldCharType="end"/>
        </w:r>
      </w:hyperlink>
    </w:p>
    <w:p w:rsidR="00FE223B" w:rsidRDefault="00FE223B">
      <w:pPr>
        <w:pStyle w:val="TOC1"/>
        <w:tabs>
          <w:tab w:val="left" w:pos="480"/>
          <w:tab w:val="right" w:leader="dot" w:pos="9200"/>
        </w:tabs>
        <w:rPr>
          <w:rFonts w:asciiTheme="minorHAnsi" w:eastAsiaTheme="minorEastAsia" w:hAnsiTheme="minorHAnsi" w:cstheme="minorBidi"/>
          <w:noProof/>
          <w:sz w:val="22"/>
          <w:szCs w:val="22"/>
        </w:rPr>
      </w:pPr>
      <w:hyperlink w:anchor="_Toc25850962" w:history="1">
        <w:r w:rsidRPr="00FC7066">
          <w:rPr>
            <w:rStyle w:val="Hyperlink"/>
            <w:rFonts w:ascii="Cambria" w:hAnsi="Cambria"/>
            <w:noProof/>
          </w:rPr>
          <w:t>7.</w:t>
        </w:r>
        <w:r>
          <w:rPr>
            <w:rFonts w:asciiTheme="minorHAnsi" w:eastAsiaTheme="minorEastAsia" w:hAnsiTheme="minorHAnsi" w:cstheme="minorBidi"/>
            <w:noProof/>
            <w:sz w:val="22"/>
            <w:szCs w:val="22"/>
          </w:rPr>
          <w:tab/>
        </w:r>
        <w:r w:rsidRPr="00FC7066">
          <w:rPr>
            <w:rStyle w:val="Hyperlink"/>
            <w:rFonts w:ascii="Cambria" w:hAnsi="Cambria"/>
            <w:noProof/>
          </w:rPr>
          <w:t>Tariff Proposals and Rationalization Measures</w:t>
        </w:r>
        <w:r>
          <w:rPr>
            <w:noProof/>
            <w:webHidden/>
          </w:rPr>
          <w:tab/>
        </w:r>
        <w:r>
          <w:rPr>
            <w:noProof/>
            <w:webHidden/>
          </w:rPr>
          <w:fldChar w:fldCharType="begin"/>
        </w:r>
        <w:r>
          <w:rPr>
            <w:noProof/>
            <w:webHidden/>
          </w:rPr>
          <w:instrText xml:space="preserve"> PAGEREF _Toc25850962 \h </w:instrText>
        </w:r>
        <w:r>
          <w:rPr>
            <w:noProof/>
            <w:webHidden/>
          </w:rPr>
        </w:r>
        <w:r>
          <w:rPr>
            <w:noProof/>
            <w:webHidden/>
          </w:rPr>
          <w:fldChar w:fldCharType="separate"/>
        </w:r>
        <w:r w:rsidR="00E011DF">
          <w:rPr>
            <w:noProof/>
            <w:webHidden/>
          </w:rPr>
          <w:t>54</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63" w:history="1">
        <w:r w:rsidRPr="00FC7066">
          <w:rPr>
            <w:rStyle w:val="Hyperlink"/>
            <w:rFonts w:ascii="Cambria" w:hAnsi="Cambria"/>
            <w:noProof/>
          </w:rPr>
          <w:t>7.1</w:t>
        </w:r>
        <w:r>
          <w:rPr>
            <w:rFonts w:asciiTheme="minorHAnsi" w:eastAsiaTheme="minorEastAsia" w:hAnsiTheme="minorHAnsi" w:cstheme="minorBidi"/>
            <w:noProof/>
            <w:sz w:val="22"/>
            <w:szCs w:val="22"/>
          </w:rPr>
          <w:tab/>
        </w:r>
        <w:r w:rsidRPr="00FC7066">
          <w:rPr>
            <w:rStyle w:val="Hyperlink"/>
            <w:rFonts w:ascii="Cambria" w:hAnsi="Cambria"/>
            <w:noProof/>
          </w:rPr>
          <w:t>Withdrawal of Power Factor incentive.</w:t>
        </w:r>
        <w:r>
          <w:rPr>
            <w:noProof/>
            <w:webHidden/>
          </w:rPr>
          <w:tab/>
        </w:r>
        <w:r>
          <w:rPr>
            <w:noProof/>
            <w:webHidden/>
          </w:rPr>
          <w:fldChar w:fldCharType="begin"/>
        </w:r>
        <w:r>
          <w:rPr>
            <w:noProof/>
            <w:webHidden/>
          </w:rPr>
          <w:instrText xml:space="preserve"> PAGEREF _Toc25850963 \h </w:instrText>
        </w:r>
        <w:r>
          <w:rPr>
            <w:noProof/>
            <w:webHidden/>
          </w:rPr>
        </w:r>
        <w:r>
          <w:rPr>
            <w:noProof/>
            <w:webHidden/>
          </w:rPr>
          <w:fldChar w:fldCharType="separate"/>
        </w:r>
        <w:r w:rsidR="00E011DF">
          <w:rPr>
            <w:noProof/>
            <w:webHidden/>
          </w:rPr>
          <w:t>56</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64" w:history="1">
        <w:r w:rsidRPr="00FC7066">
          <w:rPr>
            <w:rStyle w:val="Hyperlink"/>
            <w:rFonts w:ascii="Cambria" w:hAnsi="Cambria"/>
            <w:noProof/>
          </w:rPr>
          <w:t>7.2</w:t>
        </w:r>
        <w:r>
          <w:rPr>
            <w:rFonts w:asciiTheme="minorHAnsi" w:eastAsiaTheme="minorEastAsia" w:hAnsiTheme="minorHAnsi" w:cstheme="minorBidi"/>
            <w:noProof/>
            <w:sz w:val="22"/>
            <w:szCs w:val="22"/>
          </w:rPr>
          <w:tab/>
        </w:r>
        <w:r w:rsidRPr="00FC7066">
          <w:rPr>
            <w:rStyle w:val="Hyperlink"/>
            <w:rFonts w:ascii="Cambria" w:hAnsi="Cambria"/>
            <w:noProof/>
          </w:rPr>
          <w:t>Demand charges to HT Medium category of consumers</w:t>
        </w:r>
        <w:r>
          <w:rPr>
            <w:noProof/>
            <w:webHidden/>
          </w:rPr>
          <w:tab/>
        </w:r>
        <w:r>
          <w:rPr>
            <w:noProof/>
            <w:webHidden/>
          </w:rPr>
          <w:fldChar w:fldCharType="begin"/>
        </w:r>
        <w:r>
          <w:rPr>
            <w:noProof/>
            <w:webHidden/>
          </w:rPr>
          <w:instrText xml:space="preserve"> PAGEREF _Toc25850964 \h </w:instrText>
        </w:r>
        <w:r>
          <w:rPr>
            <w:noProof/>
            <w:webHidden/>
          </w:rPr>
        </w:r>
        <w:r>
          <w:rPr>
            <w:noProof/>
            <w:webHidden/>
          </w:rPr>
          <w:fldChar w:fldCharType="separate"/>
        </w:r>
        <w:r w:rsidR="00E011DF">
          <w:rPr>
            <w:noProof/>
            <w:webHidden/>
          </w:rPr>
          <w:t>56</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65" w:history="1">
        <w:r w:rsidRPr="00FC7066">
          <w:rPr>
            <w:rStyle w:val="Hyperlink"/>
            <w:rFonts w:asciiTheme="majorHAnsi" w:hAnsiTheme="majorHAnsi"/>
            <w:noProof/>
          </w:rPr>
          <w:t>7.3</w:t>
        </w:r>
        <w:r>
          <w:rPr>
            <w:rFonts w:asciiTheme="minorHAnsi" w:eastAsiaTheme="minorEastAsia" w:hAnsiTheme="minorHAnsi" w:cstheme="minorBidi"/>
            <w:noProof/>
            <w:sz w:val="22"/>
            <w:szCs w:val="22"/>
          </w:rPr>
          <w:tab/>
        </w:r>
        <w:r w:rsidRPr="00FC7066">
          <w:rPr>
            <w:rStyle w:val="Hyperlink"/>
            <w:rFonts w:asciiTheme="majorHAnsi" w:hAnsiTheme="majorHAnsi"/>
            <w:noProof/>
          </w:rPr>
          <w:t>MMFC for LT category of consumers</w:t>
        </w:r>
        <w:r>
          <w:rPr>
            <w:noProof/>
            <w:webHidden/>
          </w:rPr>
          <w:tab/>
        </w:r>
        <w:r>
          <w:rPr>
            <w:noProof/>
            <w:webHidden/>
          </w:rPr>
          <w:fldChar w:fldCharType="begin"/>
        </w:r>
        <w:r>
          <w:rPr>
            <w:noProof/>
            <w:webHidden/>
          </w:rPr>
          <w:instrText xml:space="preserve"> PAGEREF _Toc25850965 \h </w:instrText>
        </w:r>
        <w:r>
          <w:rPr>
            <w:noProof/>
            <w:webHidden/>
          </w:rPr>
        </w:r>
        <w:r>
          <w:rPr>
            <w:noProof/>
            <w:webHidden/>
          </w:rPr>
          <w:fldChar w:fldCharType="separate"/>
        </w:r>
        <w:r w:rsidR="00E011DF">
          <w:rPr>
            <w:noProof/>
            <w:webHidden/>
          </w:rPr>
          <w:t>57</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66" w:history="1">
        <w:r w:rsidRPr="00FC7066">
          <w:rPr>
            <w:rStyle w:val="Hyperlink"/>
            <w:rFonts w:ascii="Cambria" w:hAnsi="Cambria"/>
            <w:noProof/>
          </w:rPr>
          <w:t>7.4</w:t>
        </w:r>
        <w:r>
          <w:rPr>
            <w:rFonts w:asciiTheme="minorHAnsi" w:eastAsiaTheme="minorEastAsia" w:hAnsiTheme="minorHAnsi" w:cstheme="minorBidi"/>
            <w:noProof/>
            <w:sz w:val="22"/>
            <w:szCs w:val="22"/>
          </w:rPr>
          <w:tab/>
        </w:r>
        <w:r w:rsidRPr="00FC7066">
          <w:rPr>
            <w:rStyle w:val="Hyperlink"/>
            <w:rFonts w:ascii="Cambria" w:hAnsi="Cambria"/>
            <w:noProof/>
          </w:rPr>
          <w:t>L.F. Billing to Irrigation Category of Consumers</w:t>
        </w:r>
        <w:r>
          <w:rPr>
            <w:noProof/>
            <w:webHidden/>
          </w:rPr>
          <w:tab/>
        </w:r>
        <w:r>
          <w:rPr>
            <w:noProof/>
            <w:webHidden/>
          </w:rPr>
          <w:fldChar w:fldCharType="begin"/>
        </w:r>
        <w:r>
          <w:rPr>
            <w:noProof/>
            <w:webHidden/>
          </w:rPr>
          <w:instrText xml:space="preserve"> PAGEREF _Toc25850966 \h </w:instrText>
        </w:r>
        <w:r>
          <w:rPr>
            <w:noProof/>
            <w:webHidden/>
          </w:rPr>
        </w:r>
        <w:r>
          <w:rPr>
            <w:noProof/>
            <w:webHidden/>
          </w:rPr>
          <w:fldChar w:fldCharType="separate"/>
        </w:r>
        <w:r w:rsidR="00E011DF">
          <w:rPr>
            <w:noProof/>
            <w:webHidden/>
          </w:rPr>
          <w:t>59</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67" w:history="1">
        <w:r w:rsidRPr="00FC7066">
          <w:rPr>
            <w:rStyle w:val="Hyperlink"/>
            <w:rFonts w:ascii="Cambria" w:hAnsi="Cambria"/>
            <w:noProof/>
          </w:rPr>
          <w:t>7.5</w:t>
        </w:r>
        <w:r>
          <w:rPr>
            <w:rFonts w:asciiTheme="minorHAnsi" w:eastAsiaTheme="minorEastAsia" w:hAnsiTheme="minorHAnsi" w:cstheme="minorBidi"/>
            <w:noProof/>
            <w:sz w:val="22"/>
            <w:szCs w:val="22"/>
          </w:rPr>
          <w:tab/>
        </w:r>
        <w:r w:rsidRPr="00FC7066">
          <w:rPr>
            <w:rStyle w:val="Hyperlink"/>
            <w:rFonts w:ascii="Cambria" w:hAnsi="Cambria"/>
            <w:noProof/>
          </w:rPr>
          <w:t>Additional Rebate of 2% to LT Domestic category of Consumers</w:t>
        </w:r>
        <w:r>
          <w:rPr>
            <w:noProof/>
            <w:webHidden/>
          </w:rPr>
          <w:tab/>
        </w:r>
        <w:r>
          <w:rPr>
            <w:noProof/>
            <w:webHidden/>
          </w:rPr>
          <w:fldChar w:fldCharType="begin"/>
        </w:r>
        <w:r>
          <w:rPr>
            <w:noProof/>
            <w:webHidden/>
          </w:rPr>
          <w:instrText xml:space="preserve"> PAGEREF _Toc25850967 \h </w:instrText>
        </w:r>
        <w:r>
          <w:rPr>
            <w:noProof/>
            <w:webHidden/>
          </w:rPr>
        </w:r>
        <w:r>
          <w:rPr>
            <w:noProof/>
            <w:webHidden/>
          </w:rPr>
          <w:fldChar w:fldCharType="separate"/>
        </w:r>
        <w:r w:rsidR="00E011DF">
          <w:rPr>
            <w:noProof/>
            <w:webHidden/>
          </w:rPr>
          <w:t>59</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68" w:history="1">
        <w:r w:rsidRPr="00FC7066">
          <w:rPr>
            <w:rStyle w:val="Hyperlink"/>
            <w:rFonts w:ascii="Cambria" w:hAnsi="Cambria"/>
            <w:noProof/>
          </w:rPr>
          <w:t>7.6</w:t>
        </w:r>
        <w:r>
          <w:rPr>
            <w:rFonts w:asciiTheme="minorHAnsi" w:eastAsiaTheme="minorEastAsia" w:hAnsiTheme="minorHAnsi" w:cstheme="minorBidi"/>
            <w:noProof/>
            <w:sz w:val="22"/>
            <w:szCs w:val="22"/>
          </w:rPr>
          <w:tab/>
        </w:r>
        <w:r w:rsidRPr="00FC7066">
          <w:rPr>
            <w:rStyle w:val="Hyperlink"/>
            <w:rFonts w:ascii="Cambria" w:hAnsi="Cambria"/>
            <w:noProof/>
          </w:rPr>
          <w:t>Introduction of KVAH Billing</w:t>
        </w:r>
        <w:r>
          <w:rPr>
            <w:noProof/>
            <w:webHidden/>
          </w:rPr>
          <w:tab/>
        </w:r>
        <w:r>
          <w:rPr>
            <w:noProof/>
            <w:webHidden/>
          </w:rPr>
          <w:fldChar w:fldCharType="begin"/>
        </w:r>
        <w:r>
          <w:rPr>
            <w:noProof/>
            <w:webHidden/>
          </w:rPr>
          <w:instrText xml:space="preserve"> PAGEREF _Toc25850968 \h </w:instrText>
        </w:r>
        <w:r>
          <w:rPr>
            <w:noProof/>
            <w:webHidden/>
          </w:rPr>
        </w:r>
        <w:r>
          <w:rPr>
            <w:noProof/>
            <w:webHidden/>
          </w:rPr>
          <w:fldChar w:fldCharType="separate"/>
        </w:r>
        <w:r w:rsidR="00E011DF">
          <w:rPr>
            <w:noProof/>
            <w:webHidden/>
          </w:rPr>
          <w:t>60</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69" w:history="1">
        <w:r w:rsidRPr="00FC7066">
          <w:rPr>
            <w:rStyle w:val="Hyperlink"/>
            <w:rFonts w:ascii="Cambria" w:hAnsi="Cambria"/>
            <w:noProof/>
          </w:rPr>
          <w:t>7.7</w:t>
        </w:r>
        <w:r>
          <w:rPr>
            <w:rFonts w:asciiTheme="minorHAnsi" w:eastAsiaTheme="minorEastAsia" w:hAnsiTheme="minorHAnsi" w:cstheme="minorBidi"/>
            <w:noProof/>
            <w:sz w:val="22"/>
            <w:szCs w:val="22"/>
          </w:rPr>
          <w:tab/>
        </w:r>
        <w:r w:rsidRPr="00FC7066">
          <w:rPr>
            <w:rStyle w:val="Hyperlink"/>
            <w:rFonts w:ascii="Cambria" w:hAnsi="Cambria"/>
            <w:noProof/>
          </w:rPr>
          <w:t>Applicability of Power Factor Penalty.</w:t>
        </w:r>
        <w:r>
          <w:rPr>
            <w:noProof/>
            <w:webHidden/>
          </w:rPr>
          <w:tab/>
        </w:r>
        <w:r>
          <w:rPr>
            <w:noProof/>
            <w:webHidden/>
          </w:rPr>
          <w:fldChar w:fldCharType="begin"/>
        </w:r>
        <w:r>
          <w:rPr>
            <w:noProof/>
            <w:webHidden/>
          </w:rPr>
          <w:instrText xml:space="preserve"> PAGEREF _Toc25850969 \h </w:instrText>
        </w:r>
        <w:r>
          <w:rPr>
            <w:noProof/>
            <w:webHidden/>
          </w:rPr>
        </w:r>
        <w:r>
          <w:rPr>
            <w:noProof/>
            <w:webHidden/>
          </w:rPr>
          <w:fldChar w:fldCharType="separate"/>
        </w:r>
        <w:r w:rsidR="00E011DF">
          <w:rPr>
            <w:noProof/>
            <w:webHidden/>
          </w:rPr>
          <w:t>62</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70" w:history="1">
        <w:r w:rsidRPr="00FC7066">
          <w:rPr>
            <w:rStyle w:val="Hyperlink"/>
            <w:rFonts w:ascii="Cambria" w:hAnsi="Cambria"/>
            <w:noProof/>
            <w:lang w:val="en-GB"/>
          </w:rPr>
          <w:t>7.8</w:t>
        </w:r>
        <w:r>
          <w:rPr>
            <w:rFonts w:asciiTheme="minorHAnsi" w:eastAsiaTheme="minorEastAsia" w:hAnsiTheme="minorHAnsi" w:cstheme="minorBidi"/>
            <w:noProof/>
            <w:sz w:val="22"/>
            <w:szCs w:val="22"/>
          </w:rPr>
          <w:tab/>
        </w:r>
        <w:r w:rsidRPr="00FC7066">
          <w:rPr>
            <w:rStyle w:val="Hyperlink"/>
            <w:rFonts w:ascii="Cambria" w:hAnsi="Cambria"/>
            <w:noProof/>
            <w:lang w:val="en-GB"/>
          </w:rPr>
          <w:t>Demand Charges and Monthly Minimum Fixed Charges</w:t>
        </w:r>
        <w:r>
          <w:rPr>
            <w:noProof/>
            <w:webHidden/>
          </w:rPr>
          <w:tab/>
        </w:r>
        <w:r>
          <w:rPr>
            <w:noProof/>
            <w:webHidden/>
          </w:rPr>
          <w:fldChar w:fldCharType="begin"/>
        </w:r>
        <w:r>
          <w:rPr>
            <w:noProof/>
            <w:webHidden/>
          </w:rPr>
          <w:instrText xml:space="preserve"> PAGEREF _Toc25850970 \h </w:instrText>
        </w:r>
        <w:r>
          <w:rPr>
            <w:noProof/>
            <w:webHidden/>
          </w:rPr>
        </w:r>
        <w:r>
          <w:rPr>
            <w:noProof/>
            <w:webHidden/>
          </w:rPr>
          <w:fldChar w:fldCharType="separate"/>
        </w:r>
        <w:r w:rsidR="00E011DF">
          <w:rPr>
            <w:noProof/>
            <w:webHidden/>
          </w:rPr>
          <w:t>63</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71" w:history="1">
        <w:r w:rsidRPr="00FC7066">
          <w:rPr>
            <w:rStyle w:val="Hyperlink"/>
            <w:noProof/>
          </w:rPr>
          <w:t>7.9</w:t>
        </w:r>
        <w:r>
          <w:rPr>
            <w:rFonts w:asciiTheme="minorHAnsi" w:eastAsiaTheme="minorEastAsia" w:hAnsiTheme="minorHAnsi" w:cstheme="minorBidi"/>
            <w:noProof/>
            <w:sz w:val="22"/>
            <w:szCs w:val="22"/>
          </w:rPr>
          <w:tab/>
        </w:r>
        <w:r w:rsidRPr="00FC7066">
          <w:rPr>
            <w:rStyle w:val="Hyperlink"/>
            <w:rFonts w:ascii="Cambria" w:hAnsi="Cambria"/>
            <w:noProof/>
            <w:lang w:val="en-GB"/>
          </w:rPr>
          <w:t>Introduction of Amnesty arrear clearance scheme for LT non industrial category of consumer.</w:t>
        </w:r>
        <w:r>
          <w:rPr>
            <w:noProof/>
            <w:webHidden/>
          </w:rPr>
          <w:tab/>
        </w:r>
        <w:r>
          <w:rPr>
            <w:noProof/>
            <w:webHidden/>
          </w:rPr>
          <w:fldChar w:fldCharType="begin"/>
        </w:r>
        <w:r>
          <w:rPr>
            <w:noProof/>
            <w:webHidden/>
          </w:rPr>
          <w:instrText xml:space="preserve"> PAGEREF _Toc25850971 \h </w:instrText>
        </w:r>
        <w:r>
          <w:rPr>
            <w:noProof/>
            <w:webHidden/>
          </w:rPr>
        </w:r>
        <w:r>
          <w:rPr>
            <w:noProof/>
            <w:webHidden/>
          </w:rPr>
          <w:fldChar w:fldCharType="separate"/>
        </w:r>
        <w:r w:rsidR="00E011DF">
          <w:rPr>
            <w:noProof/>
            <w:webHidden/>
          </w:rPr>
          <w:t>64</w:t>
        </w:r>
        <w:r>
          <w:rPr>
            <w:noProof/>
            <w:webHidden/>
          </w:rPr>
          <w:fldChar w:fldCharType="end"/>
        </w:r>
      </w:hyperlink>
    </w:p>
    <w:p w:rsidR="00FE223B" w:rsidRDefault="00FE223B">
      <w:pPr>
        <w:pStyle w:val="TOC1"/>
        <w:tabs>
          <w:tab w:val="left" w:pos="480"/>
          <w:tab w:val="right" w:leader="dot" w:pos="9200"/>
        </w:tabs>
        <w:rPr>
          <w:rFonts w:asciiTheme="minorHAnsi" w:eastAsiaTheme="minorEastAsia" w:hAnsiTheme="minorHAnsi" w:cstheme="minorBidi"/>
          <w:noProof/>
          <w:sz w:val="22"/>
          <w:szCs w:val="22"/>
        </w:rPr>
      </w:pPr>
      <w:hyperlink w:anchor="_Toc25850972" w:history="1">
        <w:r w:rsidRPr="00FC7066">
          <w:rPr>
            <w:rStyle w:val="Hyperlink"/>
            <w:rFonts w:ascii="Cambria" w:hAnsi="Cambria"/>
            <w:noProof/>
          </w:rPr>
          <w:t>8.</w:t>
        </w:r>
        <w:r>
          <w:rPr>
            <w:rFonts w:asciiTheme="minorHAnsi" w:eastAsiaTheme="minorEastAsia" w:hAnsiTheme="minorHAnsi" w:cstheme="minorBidi"/>
            <w:noProof/>
            <w:sz w:val="22"/>
            <w:szCs w:val="22"/>
          </w:rPr>
          <w:tab/>
        </w:r>
        <w:r w:rsidRPr="00FC7066">
          <w:rPr>
            <w:rStyle w:val="Hyperlink"/>
            <w:rFonts w:ascii="Cambria" w:hAnsi="Cambria"/>
            <w:noProof/>
          </w:rPr>
          <w:t>Other Issues</w:t>
        </w:r>
        <w:r>
          <w:rPr>
            <w:noProof/>
            <w:webHidden/>
          </w:rPr>
          <w:tab/>
        </w:r>
        <w:r>
          <w:rPr>
            <w:noProof/>
            <w:webHidden/>
          </w:rPr>
          <w:fldChar w:fldCharType="begin"/>
        </w:r>
        <w:r>
          <w:rPr>
            <w:noProof/>
            <w:webHidden/>
          </w:rPr>
          <w:instrText xml:space="preserve"> PAGEREF _Toc25850972 \h </w:instrText>
        </w:r>
        <w:r>
          <w:rPr>
            <w:noProof/>
            <w:webHidden/>
          </w:rPr>
        </w:r>
        <w:r>
          <w:rPr>
            <w:noProof/>
            <w:webHidden/>
          </w:rPr>
          <w:fldChar w:fldCharType="separate"/>
        </w:r>
        <w:r w:rsidR="00E011DF">
          <w:rPr>
            <w:noProof/>
            <w:webHidden/>
          </w:rPr>
          <w:t>64</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73" w:history="1">
        <w:r w:rsidRPr="00FC7066">
          <w:rPr>
            <w:rStyle w:val="Hyperlink"/>
            <w:rFonts w:ascii="Cambria" w:hAnsi="Cambria"/>
            <w:noProof/>
          </w:rPr>
          <w:t>8.1</w:t>
        </w:r>
        <w:r>
          <w:rPr>
            <w:rFonts w:asciiTheme="minorHAnsi" w:eastAsiaTheme="minorEastAsia" w:hAnsiTheme="minorHAnsi" w:cstheme="minorBidi"/>
            <w:noProof/>
            <w:sz w:val="22"/>
            <w:szCs w:val="22"/>
          </w:rPr>
          <w:tab/>
        </w:r>
        <w:r w:rsidRPr="00FC7066">
          <w:rPr>
            <w:rStyle w:val="Hyperlink"/>
            <w:rFonts w:ascii="Cambria" w:hAnsi="Cambria"/>
            <w:noProof/>
          </w:rPr>
          <w:t>Rebate on Prompt Payment</w:t>
        </w:r>
        <w:r>
          <w:rPr>
            <w:noProof/>
            <w:webHidden/>
          </w:rPr>
          <w:tab/>
        </w:r>
        <w:r>
          <w:rPr>
            <w:noProof/>
            <w:webHidden/>
          </w:rPr>
          <w:fldChar w:fldCharType="begin"/>
        </w:r>
        <w:r>
          <w:rPr>
            <w:noProof/>
            <w:webHidden/>
          </w:rPr>
          <w:instrText xml:space="preserve"> PAGEREF _Toc25850973 \h </w:instrText>
        </w:r>
        <w:r>
          <w:rPr>
            <w:noProof/>
            <w:webHidden/>
          </w:rPr>
        </w:r>
        <w:r>
          <w:rPr>
            <w:noProof/>
            <w:webHidden/>
          </w:rPr>
          <w:fldChar w:fldCharType="separate"/>
        </w:r>
        <w:r w:rsidR="00E011DF">
          <w:rPr>
            <w:noProof/>
            <w:webHidden/>
          </w:rPr>
          <w:t>64</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74" w:history="1">
        <w:r w:rsidRPr="00FC7066">
          <w:rPr>
            <w:rStyle w:val="Hyperlink"/>
            <w:rFonts w:ascii="Cambria" w:hAnsi="Cambria"/>
            <w:noProof/>
          </w:rPr>
          <w:t>8.2</w:t>
        </w:r>
        <w:r>
          <w:rPr>
            <w:rFonts w:asciiTheme="minorHAnsi" w:eastAsiaTheme="minorEastAsia" w:hAnsiTheme="minorHAnsi" w:cstheme="minorBidi"/>
            <w:noProof/>
            <w:sz w:val="22"/>
            <w:szCs w:val="22"/>
          </w:rPr>
          <w:tab/>
        </w:r>
        <w:r w:rsidRPr="00FC7066">
          <w:rPr>
            <w:rStyle w:val="Hyperlink"/>
            <w:rFonts w:ascii="Cambria" w:hAnsi="Cambria"/>
            <w:noProof/>
          </w:rPr>
          <w:t>Overdrawal beyond contract demand and charges thereof.</w:t>
        </w:r>
        <w:r>
          <w:rPr>
            <w:noProof/>
            <w:webHidden/>
          </w:rPr>
          <w:tab/>
        </w:r>
        <w:r>
          <w:rPr>
            <w:noProof/>
            <w:webHidden/>
          </w:rPr>
          <w:fldChar w:fldCharType="begin"/>
        </w:r>
        <w:r>
          <w:rPr>
            <w:noProof/>
            <w:webHidden/>
          </w:rPr>
          <w:instrText xml:space="preserve"> PAGEREF _Toc25850974 \h </w:instrText>
        </w:r>
        <w:r>
          <w:rPr>
            <w:noProof/>
            <w:webHidden/>
          </w:rPr>
        </w:r>
        <w:r>
          <w:rPr>
            <w:noProof/>
            <w:webHidden/>
          </w:rPr>
          <w:fldChar w:fldCharType="separate"/>
        </w:r>
        <w:r w:rsidR="00E011DF">
          <w:rPr>
            <w:noProof/>
            <w:webHidden/>
          </w:rPr>
          <w:t>65</w:t>
        </w:r>
        <w:r>
          <w:rPr>
            <w:noProof/>
            <w:webHidden/>
          </w:rPr>
          <w:fldChar w:fldCharType="end"/>
        </w:r>
      </w:hyperlink>
    </w:p>
    <w:p w:rsidR="00FE223B" w:rsidRDefault="00FE223B">
      <w:pPr>
        <w:pStyle w:val="TOC1"/>
        <w:tabs>
          <w:tab w:val="left" w:pos="480"/>
          <w:tab w:val="right" w:leader="dot" w:pos="9200"/>
        </w:tabs>
        <w:rPr>
          <w:rFonts w:asciiTheme="minorHAnsi" w:eastAsiaTheme="minorEastAsia" w:hAnsiTheme="minorHAnsi" w:cstheme="minorBidi"/>
          <w:noProof/>
          <w:sz w:val="22"/>
          <w:szCs w:val="22"/>
        </w:rPr>
      </w:pPr>
      <w:hyperlink w:anchor="_Toc25850975" w:history="1">
        <w:r w:rsidRPr="00FC7066">
          <w:rPr>
            <w:rStyle w:val="Hyperlink"/>
            <w:rFonts w:ascii="Cambria" w:hAnsi="Cambria"/>
            <w:noProof/>
          </w:rPr>
          <w:t>9.</w:t>
        </w:r>
        <w:r>
          <w:rPr>
            <w:rFonts w:asciiTheme="minorHAnsi" w:eastAsiaTheme="minorEastAsia" w:hAnsiTheme="minorHAnsi" w:cstheme="minorBidi"/>
            <w:noProof/>
            <w:sz w:val="22"/>
            <w:szCs w:val="22"/>
          </w:rPr>
          <w:tab/>
        </w:r>
        <w:r w:rsidRPr="00FC7066">
          <w:rPr>
            <w:rStyle w:val="Hyperlink"/>
            <w:rFonts w:ascii="Cambria" w:hAnsi="Cambria"/>
            <w:noProof/>
          </w:rPr>
          <w:t>Formats</w:t>
        </w:r>
        <w:r>
          <w:rPr>
            <w:noProof/>
            <w:webHidden/>
          </w:rPr>
          <w:tab/>
        </w:r>
        <w:r>
          <w:rPr>
            <w:noProof/>
            <w:webHidden/>
          </w:rPr>
          <w:fldChar w:fldCharType="begin"/>
        </w:r>
        <w:r>
          <w:rPr>
            <w:noProof/>
            <w:webHidden/>
          </w:rPr>
          <w:instrText xml:space="preserve"> PAGEREF _Toc25850975 \h </w:instrText>
        </w:r>
        <w:r>
          <w:rPr>
            <w:noProof/>
            <w:webHidden/>
          </w:rPr>
        </w:r>
        <w:r>
          <w:rPr>
            <w:noProof/>
            <w:webHidden/>
          </w:rPr>
          <w:fldChar w:fldCharType="separate"/>
        </w:r>
        <w:r w:rsidR="00E011DF">
          <w:rPr>
            <w:noProof/>
            <w:webHidden/>
          </w:rPr>
          <w:t>68</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76" w:history="1">
        <w:r w:rsidRPr="00FC7066">
          <w:rPr>
            <w:rStyle w:val="Hyperlink"/>
            <w:rFonts w:ascii="Cambria" w:hAnsi="Cambria"/>
            <w:noProof/>
          </w:rPr>
          <w:t>9.1</w:t>
        </w:r>
        <w:r>
          <w:rPr>
            <w:rFonts w:asciiTheme="minorHAnsi" w:eastAsiaTheme="minorEastAsia" w:hAnsiTheme="minorHAnsi" w:cstheme="minorBidi"/>
            <w:noProof/>
            <w:sz w:val="22"/>
            <w:szCs w:val="22"/>
          </w:rPr>
          <w:tab/>
        </w:r>
        <w:r w:rsidRPr="00FC7066">
          <w:rPr>
            <w:rStyle w:val="Hyperlink"/>
            <w:rFonts w:ascii="Cambria" w:hAnsi="Cambria"/>
            <w:noProof/>
          </w:rPr>
          <w:t>Commercial/Technical  Formats T1-T9</w:t>
        </w:r>
        <w:r>
          <w:rPr>
            <w:noProof/>
            <w:webHidden/>
          </w:rPr>
          <w:tab/>
        </w:r>
        <w:r>
          <w:rPr>
            <w:noProof/>
            <w:webHidden/>
          </w:rPr>
          <w:fldChar w:fldCharType="begin"/>
        </w:r>
        <w:r>
          <w:rPr>
            <w:noProof/>
            <w:webHidden/>
          </w:rPr>
          <w:instrText xml:space="preserve"> PAGEREF _Toc25850976 \h </w:instrText>
        </w:r>
        <w:r>
          <w:rPr>
            <w:noProof/>
            <w:webHidden/>
          </w:rPr>
        </w:r>
        <w:r>
          <w:rPr>
            <w:noProof/>
            <w:webHidden/>
          </w:rPr>
          <w:fldChar w:fldCharType="separate"/>
        </w:r>
        <w:r w:rsidR="00E011DF">
          <w:rPr>
            <w:noProof/>
            <w:webHidden/>
          </w:rPr>
          <w:t>69</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77" w:history="1">
        <w:r w:rsidRPr="00FC7066">
          <w:rPr>
            <w:rStyle w:val="Hyperlink"/>
            <w:rFonts w:ascii="Cambria" w:hAnsi="Cambria"/>
            <w:noProof/>
          </w:rPr>
          <w:t>9.2</w:t>
        </w:r>
        <w:r>
          <w:rPr>
            <w:rFonts w:asciiTheme="minorHAnsi" w:eastAsiaTheme="minorEastAsia" w:hAnsiTheme="minorHAnsi" w:cstheme="minorBidi"/>
            <w:noProof/>
            <w:sz w:val="22"/>
            <w:szCs w:val="22"/>
          </w:rPr>
          <w:tab/>
        </w:r>
        <w:r w:rsidRPr="00FC7066">
          <w:rPr>
            <w:rStyle w:val="Hyperlink"/>
            <w:rFonts w:ascii="Cambria" w:hAnsi="Cambria"/>
            <w:noProof/>
          </w:rPr>
          <w:t>Financial Formats F1-F27</w:t>
        </w:r>
        <w:r>
          <w:rPr>
            <w:noProof/>
            <w:webHidden/>
          </w:rPr>
          <w:tab/>
        </w:r>
        <w:r>
          <w:rPr>
            <w:noProof/>
            <w:webHidden/>
          </w:rPr>
          <w:fldChar w:fldCharType="begin"/>
        </w:r>
        <w:r>
          <w:rPr>
            <w:noProof/>
            <w:webHidden/>
          </w:rPr>
          <w:instrText xml:space="preserve"> PAGEREF _Toc25850977 \h </w:instrText>
        </w:r>
        <w:r>
          <w:rPr>
            <w:noProof/>
            <w:webHidden/>
          </w:rPr>
        </w:r>
        <w:r>
          <w:rPr>
            <w:noProof/>
            <w:webHidden/>
          </w:rPr>
          <w:fldChar w:fldCharType="separate"/>
        </w:r>
        <w:r w:rsidR="00E011DF">
          <w:rPr>
            <w:noProof/>
            <w:webHidden/>
          </w:rPr>
          <w:t>69</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78" w:history="1">
        <w:r w:rsidRPr="00FC7066">
          <w:rPr>
            <w:rStyle w:val="Hyperlink"/>
            <w:rFonts w:ascii="Cambria" w:hAnsi="Cambria"/>
            <w:noProof/>
          </w:rPr>
          <w:t>9.3</w:t>
        </w:r>
        <w:r>
          <w:rPr>
            <w:rFonts w:asciiTheme="minorHAnsi" w:eastAsiaTheme="minorEastAsia" w:hAnsiTheme="minorHAnsi" w:cstheme="minorBidi"/>
            <w:noProof/>
            <w:sz w:val="22"/>
            <w:szCs w:val="22"/>
          </w:rPr>
          <w:tab/>
        </w:r>
        <w:r w:rsidRPr="00FC7066">
          <w:rPr>
            <w:rStyle w:val="Hyperlink"/>
            <w:rFonts w:ascii="Cambria" w:hAnsi="Cambria"/>
            <w:noProof/>
          </w:rPr>
          <w:t>Details Performance Formats (P1-P17) in Vol- II</w:t>
        </w:r>
        <w:r>
          <w:rPr>
            <w:noProof/>
            <w:webHidden/>
          </w:rPr>
          <w:tab/>
        </w:r>
        <w:r>
          <w:rPr>
            <w:noProof/>
            <w:webHidden/>
          </w:rPr>
          <w:fldChar w:fldCharType="begin"/>
        </w:r>
        <w:r>
          <w:rPr>
            <w:noProof/>
            <w:webHidden/>
          </w:rPr>
          <w:instrText xml:space="preserve"> PAGEREF _Toc25850978 \h </w:instrText>
        </w:r>
        <w:r>
          <w:rPr>
            <w:noProof/>
            <w:webHidden/>
          </w:rPr>
        </w:r>
        <w:r>
          <w:rPr>
            <w:noProof/>
            <w:webHidden/>
          </w:rPr>
          <w:fldChar w:fldCharType="separate"/>
        </w:r>
        <w:r w:rsidR="00E011DF">
          <w:rPr>
            <w:noProof/>
            <w:webHidden/>
          </w:rPr>
          <w:t>69</w:t>
        </w:r>
        <w:r>
          <w:rPr>
            <w:noProof/>
            <w:webHidden/>
          </w:rPr>
          <w:fldChar w:fldCharType="end"/>
        </w:r>
      </w:hyperlink>
    </w:p>
    <w:p w:rsidR="00FE223B" w:rsidRDefault="00FE223B">
      <w:pPr>
        <w:pStyle w:val="TOC1"/>
        <w:tabs>
          <w:tab w:val="left" w:pos="660"/>
          <w:tab w:val="right" w:leader="dot" w:pos="9200"/>
        </w:tabs>
        <w:rPr>
          <w:rFonts w:asciiTheme="minorHAnsi" w:eastAsiaTheme="minorEastAsia" w:hAnsiTheme="minorHAnsi" w:cstheme="minorBidi"/>
          <w:noProof/>
          <w:sz w:val="22"/>
          <w:szCs w:val="22"/>
        </w:rPr>
      </w:pPr>
      <w:hyperlink w:anchor="_Toc25850979" w:history="1">
        <w:r w:rsidRPr="00FC7066">
          <w:rPr>
            <w:rStyle w:val="Hyperlink"/>
            <w:rFonts w:ascii="Cambria" w:hAnsi="Cambria"/>
            <w:noProof/>
          </w:rPr>
          <w:t>10.</w:t>
        </w:r>
        <w:r>
          <w:rPr>
            <w:rFonts w:asciiTheme="minorHAnsi" w:eastAsiaTheme="minorEastAsia" w:hAnsiTheme="minorHAnsi" w:cstheme="minorBidi"/>
            <w:noProof/>
            <w:sz w:val="22"/>
            <w:szCs w:val="22"/>
          </w:rPr>
          <w:tab/>
        </w:r>
        <w:r w:rsidRPr="00FC7066">
          <w:rPr>
            <w:rStyle w:val="Hyperlink"/>
            <w:rFonts w:ascii="Cambria" w:hAnsi="Cambria"/>
            <w:noProof/>
          </w:rPr>
          <w:t>Prayer</w:t>
        </w:r>
        <w:r>
          <w:rPr>
            <w:noProof/>
            <w:webHidden/>
          </w:rPr>
          <w:tab/>
        </w:r>
        <w:r>
          <w:rPr>
            <w:noProof/>
            <w:webHidden/>
          </w:rPr>
          <w:fldChar w:fldCharType="begin"/>
        </w:r>
        <w:r>
          <w:rPr>
            <w:noProof/>
            <w:webHidden/>
          </w:rPr>
          <w:instrText xml:space="preserve"> PAGEREF _Toc25850979 \h </w:instrText>
        </w:r>
        <w:r>
          <w:rPr>
            <w:noProof/>
            <w:webHidden/>
          </w:rPr>
        </w:r>
        <w:r>
          <w:rPr>
            <w:noProof/>
            <w:webHidden/>
          </w:rPr>
          <w:fldChar w:fldCharType="separate"/>
        </w:r>
        <w:r w:rsidR="00E011DF">
          <w:rPr>
            <w:noProof/>
            <w:webHidden/>
          </w:rPr>
          <w:t>69</w:t>
        </w:r>
        <w:r>
          <w:rPr>
            <w:noProof/>
            <w:webHidden/>
          </w:rPr>
          <w:fldChar w:fldCharType="end"/>
        </w:r>
      </w:hyperlink>
    </w:p>
    <w:p w:rsidR="000B7BB6" w:rsidRPr="00BF0E9D" w:rsidRDefault="00807242" w:rsidP="00B91F1C">
      <w:pPr>
        <w:spacing w:line="360" w:lineRule="auto"/>
        <w:jc w:val="both"/>
        <w:rPr>
          <w:rFonts w:ascii="Cambria" w:hAnsi="Cambria" w:cs="Arial"/>
        </w:rPr>
      </w:pPr>
      <w:r w:rsidRPr="00BF0E9D">
        <w:rPr>
          <w:rFonts w:ascii="Cambria" w:hAnsi="Cambria" w:cs="Arial"/>
          <w:highlight w:val="yellow"/>
        </w:rPr>
        <w:fldChar w:fldCharType="end"/>
      </w:r>
    </w:p>
    <w:p w:rsidR="001E5BAB" w:rsidRPr="00BF0E9D" w:rsidRDefault="000A6635" w:rsidP="00B91F1C">
      <w:pPr>
        <w:spacing w:line="360" w:lineRule="auto"/>
        <w:jc w:val="both"/>
        <w:rPr>
          <w:rFonts w:ascii="Cambria" w:hAnsi="Cambria" w:cs="Arial"/>
        </w:rPr>
      </w:pPr>
      <w:r w:rsidRPr="00BF0E9D">
        <w:rPr>
          <w:rFonts w:ascii="Cambria" w:hAnsi="Cambria" w:cs="Arial"/>
        </w:rPr>
        <w:br w:type="page"/>
      </w:r>
    </w:p>
    <w:p w:rsidR="00037AF8" w:rsidRPr="000B7D3A" w:rsidRDefault="00037AF8" w:rsidP="00037AF8">
      <w:pPr>
        <w:pStyle w:val="Heading1"/>
        <w:numPr>
          <w:ilvl w:val="0"/>
          <w:numId w:val="1"/>
        </w:numPr>
        <w:spacing w:line="360" w:lineRule="auto"/>
        <w:jc w:val="both"/>
        <w:rPr>
          <w:rFonts w:ascii="Cambria" w:hAnsi="Cambria"/>
          <w:sz w:val="24"/>
          <w:szCs w:val="24"/>
        </w:rPr>
      </w:pPr>
      <w:bookmarkStart w:id="0" w:name="_Toc25850905"/>
      <w:r w:rsidRPr="000B7D3A">
        <w:rPr>
          <w:rFonts w:ascii="Cambria" w:hAnsi="Cambria"/>
          <w:sz w:val="24"/>
          <w:szCs w:val="24"/>
        </w:rPr>
        <w:lastRenderedPageBreak/>
        <w:t>Executive Summary</w:t>
      </w:r>
      <w:bookmarkEnd w:id="0"/>
      <w:r w:rsidRPr="000B7D3A">
        <w:rPr>
          <w:rFonts w:ascii="Cambria" w:hAnsi="Cambria"/>
          <w:sz w:val="24"/>
          <w:szCs w:val="24"/>
        </w:rPr>
        <w:t xml:space="preserve"> </w:t>
      </w:r>
    </w:p>
    <w:p w:rsidR="00037AF8" w:rsidRPr="000B7D3A" w:rsidRDefault="00C54E8E" w:rsidP="00037AF8">
      <w:pPr>
        <w:pStyle w:val="ARR-normalbody"/>
        <w:rPr>
          <w:rFonts w:ascii="Cambria" w:hAnsi="Cambria"/>
          <w:color w:val="000000"/>
          <w:sz w:val="24"/>
          <w:szCs w:val="24"/>
        </w:rPr>
      </w:pPr>
      <w:r>
        <w:rPr>
          <w:rFonts w:ascii="Cambria" w:hAnsi="Cambria"/>
          <w:color w:val="000000"/>
          <w:sz w:val="24"/>
          <w:szCs w:val="24"/>
        </w:rPr>
        <w:t>N</w:t>
      </w:r>
      <w:r w:rsidR="00485BA9" w:rsidRPr="000B7D3A">
        <w:rPr>
          <w:rFonts w:ascii="Cambria" w:hAnsi="Cambria"/>
          <w:color w:val="000000"/>
          <w:sz w:val="24"/>
          <w:szCs w:val="24"/>
        </w:rPr>
        <w:t>esco Utility</w:t>
      </w:r>
      <w:r w:rsidR="00037AF8" w:rsidRPr="000B7D3A">
        <w:rPr>
          <w:rFonts w:ascii="Cambria" w:hAnsi="Cambria"/>
          <w:color w:val="000000"/>
          <w:sz w:val="24"/>
          <w:szCs w:val="24"/>
        </w:rPr>
        <w:t>, B</w:t>
      </w:r>
      <w:r w:rsidR="00844E0F">
        <w:rPr>
          <w:rFonts w:ascii="Cambria" w:hAnsi="Cambria"/>
          <w:color w:val="000000"/>
          <w:sz w:val="24"/>
          <w:szCs w:val="24"/>
        </w:rPr>
        <w:t>alasore,(N</w:t>
      </w:r>
      <w:r w:rsidR="00037AF8" w:rsidRPr="000B7D3A">
        <w:rPr>
          <w:rFonts w:ascii="Cambria" w:hAnsi="Cambria"/>
          <w:color w:val="000000"/>
          <w:sz w:val="24"/>
          <w:szCs w:val="24"/>
        </w:rPr>
        <w:t>ESCO), is the holder of the Odisha Distribution and Re</w:t>
      </w:r>
      <w:r w:rsidR="00844E0F">
        <w:rPr>
          <w:rFonts w:ascii="Cambria" w:hAnsi="Cambria"/>
          <w:color w:val="000000"/>
          <w:sz w:val="24"/>
          <w:szCs w:val="24"/>
        </w:rPr>
        <w:t>tail Supply License, 1999 ( No 3</w:t>
      </w:r>
      <w:r w:rsidR="00037AF8" w:rsidRPr="000B7D3A">
        <w:rPr>
          <w:rFonts w:ascii="Cambria" w:hAnsi="Cambria"/>
          <w:color w:val="000000"/>
          <w:sz w:val="24"/>
          <w:szCs w:val="24"/>
        </w:rPr>
        <w:t>/99) and has been carrying out the business of distribution and retail s</w:t>
      </w:r>
      <w:r w:rsidR="00844E0F">
        <w:rPr>
          <w:rFonts w:ascii="Cambria" w:hAnsi="Cambria"/>
          <w:color w:val="000000"/>
          <w:sz w:val="24"/>
          <w:szCs w:val="24"/>
        </w:rPr>
        <w:t>upply of electricity in the five</w:t>
      </w:r>
      <w:r w:rsidR="00037AF8" w:rsidRPr="000B7D3A">
        <w:rPr>
          <w:rFonts w:ascii="Cambria" w:hAnsi="Cambria"/>
          <w:color w:val="000000"/>
          <w:sz w:val="24"/>
          <w:szCs w:val="24"/>
        </w:rPr>
        <w:t xml:space="preserve"> districts of Odisha, namely, </w:t>
      </w:r>
      <w:r w:rsidR="00844E0F" w:rsidRPr="00A13E29">
        <w:rPr>
          <w:rFonts w:asciiTheme="majorHAnsi" w:hAnsiTheme="majorHAnsi"/>
          <w:color w:val="000000"/>
          <w:sz w:val="24"/>
          <w:szCs w:val="24"/>
        </w:rPr>
        <w:t>Balasore, Bhadrak, Jajpur ,Keonjhar and Mayurbhanj</w:t>
      </w:r>
      <w:r w:rsidR="00037AF8" w:rsidRPr="000B7D3A">
        <w:rPr>
          <w:rFonts w:ascii="Cambria" w:hAnsi="Cambria"/>
          <w:color w:val="000000"/>
          <w:sz w:val="24"/>
          <w:szCs w:val="24"/>
        </w:rPr>
        <w:t xml:space="preserve">. This submission is made by the </w:t>
      </w:r>
      <w:r w:rsidR="006C38E9">
        <w:rPr>
          <w:rFonts w:ascii="Cambria" w:hAnsi="Cambria"/>
          <w:color w:val="000000"/>
          <w:sz w:val="24"/>
          <w:szCs w:val="24"/>
        </w:rPr>
        <w:t>Utility</w:t>
      </w:r>
      <w:r w:rsidR="00037AF8" w:rsidRPr="000B7D3A">
        <w:rPr>
          <w:rFonts w:ascii="Cambria" w:hAnsi="Cambria"/>
          <w:color w:val="000000"/>
          <w:sz w:val="24"/>
          <w:szCs w:val="24"/>
        </w:rPr>
        <w:t xml:space="preserve"> </w:t>
      </w:r>
      <w:r w:rsidR="00F25AB3">
        <w:rPr>
          <w:rFonts w:ascii="Cambria" w:hAnsi="Cambria"/>
          <w:color w:val="000000"/>
          <w:sz w:val="24"/>
          <w:szCs w:val="24"/>
        </w:rPr>
        <w:t xml:space="preserve">before </w:t>
      </w:r>
      <w:r w:rsidR="00037AF8" w:rsidRPr="000B7D3A">
        <w:rPr>
          <w:rFonts w:ascii="Cambria" w:hAnsi="Cambria"/>
          <w:color w:val="000000"/>
          <w:sz w:val="24"/>
          <w:szCs w:val="24"/>
        </w:rPr>
        <w:t>the Honorable Commission for the determination of Aggregate Annual Revenue Requirement and Retail Supply Ta</w:t>
      </w:r>
      <w:r w:rsidR="006339BD">
        <w:rPr>
          <w:rFonts w:ascii="Cambria" w:hAnsi="Cambria"/>
          <w:color w:val="000000"/>
          <w:sz w:val="24"/>
          <w:szCs w:val="24"/>
        </w:rPr>
        <w:t>riffs for the Financial Year 2020-21</w:t>
      </w:r>
      <w:r w:rsidR="00037AF8" w:rsidRPr="000B7D3A">
        <w:rPr>
          <w:rFonts w:ascii="Cambria" w:hAnsi="Cambria"/>
          <w:color w:val="000000"/>
          <w:sz w:val="24"/>
          <w:szCs w:val="24"/>
        </w:rPr>
        <w:t xml:space="preserve">. </w:t>
      </w:r>
    </w:p>
    <w:p w:rsidR="00485BA9" w:rsidRPr="000B7D3A" w:rsidRDefault="000B7D3A" w:rsidP="00485BA9">
      <w:pPr>
        <w:pStyle w:val="ARR-normalbody"/>
        <w:rPr>
          <w:rFonts w:ascii="Cambria" w:hAnsi="Cambria"/>
          <w:color w:val="000000"/>
          <w:sz w:val="24"/>
          <w:szCs w:val="24"/>
        </w:rPr>
      </w:pPr>
      <w:r w:rsidRPr="000B7D3A">
        <w:rPr>
          <w:rFonts w:ascii="Cambria" w:hAnsi="Cambria"/>
          <w:color w:val="000000"/>
          <w:sz w:val="24"/>
          <w:szCs w:val="24"/>
        </w:rPr>
        <w:t xml:space="preserve">That, Hon’ble </w:t>
      </w:r>
      <w:r w:rsidR="00485BA9" w:rsidRPr="000B7D3A">
        <w:rPr>
          <w:rFonts w:ascii="Cambria" w:hAnsi="Cambria"/>
          <w:color w:val="000000"/>
          <w:sz w:val="24"/>
          <w:szCs w:val="24"/>
        </w:rPr>
        <w:t xml:space="preserve">Commission in their Order dated 04.03.2015 in Case No. 55/2013 have revoked the Licences of NESCO, WESCO and SOUTHCO (Distribution Companies) under Section 19 of the Electricity Act, 2003. </w:t>
      </w:r>
    </w:p>
    <w:p w:rsidR="00485BA9" w:rsidRPr="000B7D3A" w:rsidRDefault="00485BA9" w:rsidP="00485BA9">
      <w:pPr>
        <w:pStyle w:val="ARR-normalbody"/>
        <w:rPr>
          <w:rFonts w:ascii="Cambria" w:hAnsi="Cambria"/>
          <w:color w:val="000000"/>
          <w:sz w:val="24"/>
          <w:szCs w:val="24"/>
        </w:rPr>
      </w:pPr>
      <w:r w:rsidRPr="000B7D3A">
        <w:rPr>
          <w:rFonts w:ascii="Cambria" w:hAnsi="Cambria"/>
          <w:color w:val="000000"/>
          <w:sz w:val="24"/>
          <w:szCs w:val="24"/>
        </w:rPr>
        <w:t xml:space="preserve">Consequent upon such revocation and considering the situation at hand due to such revocation of Licences of NESCO, WESCO &amp; SOUTHCO and also keeping in view, the salient objectives and purpose of the Electricity Act, 2003 </w:t>
      </w:r>
      <w:r w:rsidR="000B7D3A" w:rsidRPr="000B7D3A">
        <w:rPr>
          <w:rFonts w:ascii="Cambria" w:hAnsi="Cambria"/>
          <w:color w:val="000000"/>
          <w:sz w:val="24"/>
          <w:szCs w:val="24"/>
        </w:rPr>
        <w:t xml:space="preserve">Hon’ble </w:t>
      </w:r>
      <w:r w:rsidRPr="000B7D3A">
        <w:rPr>
          <w:rFonts w:ascii="Cambria" w:hAnsi="Cambria"/>
          <w:color w:val="000000"/>
          <w:sz w:val="24"/>
          <w:szCs w:val="24"/>
        </w:rPr>
        <w:t xml:space="preserve">Commission in exercising powers conferred on it under Section 20 (d) of the Electricity Act, 2003 vests the management and control of NESCO, WESCO and SOUTHCO utilities along with their assets, interests and rights with Chairman-Cum-Managing Director, GRIDCO (CMD, GRIDCO) in order to ensure the maintenance of continued supply of electricity in the Northern, Western and Southern Zone (area of supply of NESCO, WESCO and SOUTHCO) in the interest of consumers and the public interest at large. This is an interim arrangement under Section 20 (d) of the Electricity Act, 2003. </w:t>
      </w:r>
    </w:p>
    <w:p w:rsidR="00485BA9" w:rsidRDefault="000B7D3A" w:rsidP="00485BA9">
      <w:pPr>
        <w:pStyle w:val="ARR-normalbody"/>
        <w:rPr>
          <w:rFonts w:ascii="Cambria" w:hAnsi="Cambria"/>
          <w:color w:val="000000"/>
          <w:sz w:val="24"/>
          <w:szCs w:val="24"/>
        </w:rPr>
      </w:pPr>
      <w:r w:rsidRPr="000B7D3A">
        <w:rPr>
          <w:rFonts w:ascii="Cambria" w:hAnsi="Cambria"/>
          <w:color w:val="000000"/>
          <w:sz w:val="24"/>
          <w:szCs w:val="24"/>
        </w:rPr>
        <w:t xml:space="preserve">Hon’ble </w:t>
      </w:r>
      <w:r w:rsidR="00485BA9" w:rsidRPr="000B7D3A">
        <w:rPr>
          <w:rFonts w:ascii="Cambria" w:hAnsi="Cambria"/>
          <w:color w:val="000000"/>
          <w:sz w:val="24"/>
          <w:szCs w:val="24"/>
        </w:rPr>
        <w:t xml:space="preserve">Commission </w:t>
      </w:r>
      <w:r w:rsidRPr="000B7D3A">
        <w:rPr>
          <w:rFonts w:ascii="Cambria" w:hAnsi="Cambria"/>
          <w:color w:val="000000"/>
          <w:sz w:val="24"/>
          <w:szCs w:val="24"/>
        </w:rPr>
        <w:t xml:space="preserve">further </w:t>
      </w:r>
      <w:r w:rsidR="00485BA9" w:rsidRPr="000B7D3A">
        <w:rPr>
          <w:rFonts w:ascii="Cambria" w:hAnsi="Cambria"/>
          <w:color w:val="000000"/>
          <w:sz w:val="24"/>
          <w:szCs w:val="24"/>
        </w:rPr>
        <w:t xml:space="preserve">directs that the management and control of the utilities of NESCO, WESCO and SOUTHCO with all the assets, interests and rights shall vest with Chairman-Cum-Managing Director, GRIDCO with immediate effect and he shall manage the electricity supply activities in the revoked licensed area of NESCO, WESCO and SOUTHCO respectively till further orders of the </w:t>
      </w:r>
      <w:r w:rsidRPr="000B7D3A">
        <w:rPr>
          <w:rFonts w:ascii="Cambria" w:hAnsi="Cambria"/>
          <w:color w:val="000000"/>
          <w:sz w:val="24"/>
          <w:szCs w:val="24"/>
        </w:rPr>
        <w:t xml:space="preserve">Hon’ble </w:t>
      </w:r>
      <w:r w:rsidR="00485BA9" w:rsidRPr="000B7D3A">
        <w:rPr>
          <w:rFonts w:ascii="Cambria" w:hAnsi="Cambria"/>
          <w:color w:val="000000"/>
          <w:sz w:val="24"/>
          <w:szCs w:val="24"/>
        </w:rPr>
        <w:t xml:space="preserve">Commission. </w:t>
      </w:r>
    </w:p>
    <w:p w:rsidR="006C38E9" w:rsidRPr="000B7D3A" w:rsidRDefault="006C38E9" w:rsidP="00485BA9">
      <w:pPr>
        <w:pStyle w:val="ARR-normalbody"/>
        <w:rPr>
          <w:rFonts w:ascii="Cambria" w:hAnsi="Cambria"/>
          <w:color w:val="000000"/>
          <w:sz w:val="24"/>
          <w:szCs w:val="24"/>
        </w:rPr>
      </w:pPr>
      <w:r>
        <w:rPr>
          <w:rFonts w:ascii="Cambria" w:hAnsi="Cambria"/>
          <w:color w:val="000000"/>
          <w:sz w:val="24"/>
          <w:szCs w:val="24"/>
        </w:rPr>
        <w:t xml:space="preserve">Subsequent to above direction of Hon’ble Commission the Administrator of the Utility has appointed an authorised officer to look after the day to day operation of the utility without affecting the consumer service of the </w:t>
      </w:r>
      <w:r w:rsidR="00844E0F">
        <w:rPr>
          <w:rFonts w:ascii="Cambria" w:hAnsi="Cambria"/>
          <w:color w:val="000000"/>
          <w:sz w:val="24"/>
          <w:szCs w:val="24"/>
        </w:rPr>
        <w:t>north east</w:t>
      </w:r>
      <w:r>
        <w:rPr>
          <w:rFonts w:ascii="Cambria" w:hAnsi="Cambria"/>
          <w:color w:val="000000"/>
          <w:sz w:val="24"/>
          <w:szCs w:val="24"/>
        </w:rPr>
        <w:t xml:space="preserve"> part of the state.</w:t>
      </w:r>
    </w:p>
    <w:p w:rsidR="00110850" w:rsidRDefault="00110850" w:rsidP="00037AF8">
      <w:pPr>
        <w:autoSpaceDE w:val="0"/>
        <w:autoSpaceDN w:val="0"/>
        <w:adjustRightInd w:val="0"/>
        <w:spacing w:after="240" w:line="360" w:lineRule="auto"/>
        <w:ind w:left="360"/>
        <w:jc w:val="both"/>
        <w:rPr>
          <w:rFonts w:ascii="Cambria" w:hAnsi="Cambria" w:cs="Arial"/>
          <w:b/>
          <w:color w:val="000000"/>
          <w:lang w:val="en-GB"/>
        </w:rPr>
      </w:pPr>
    </w:p>
    <w:p w:rsidR="00CB6978" w:rsidRPr="00180D33" w:rsidRDefault="00180D33" w:rsidP="00037AF8">
      <w:pPr>
        <w:autoSpaceDE w:val="0"/>
        <w:autoSpaceDN w:val="0"/>
        <w:adjustRightInd w:val="0"/>
        <w:spacing w:after="240" w:line="360" w:lineRule="auto"/>
        <w:ind w:left="360"/>
        <w:jc w:val="both"/>
        <w:rPr>
          <w:rFonts w:ascii="Cambria" w:hAnsi="Cambria" w:cs="Arial"/>
          <w:b/>
          <w:color w:val="000000"/>
          <w:lang w:val="en-GB"/>
        </w:rPr>
      </w:pPr>
      <w:r w:rsidRPr="00180D33">
        <w:rPr>
          <w:rFonts w:ascii="Cambria" w:hAnsi="Cambria" w:cs="Arial"/>
          <w:b/>
          <w:color w:val="000000"/>
          <w:lang w:val="en-GB"/>
        </w:rPr>
        <w:lastRenderedPageBreak/>
        <w:t>Filing of Business Plan</w:t>
      </w:r>
    </w:p>
    <w:p w:rsidR="00BC2E81" w:rsidRDefault="00BC2E81" w:rsidP="00424F57">
      <w:pPr>
        <w:autoSpaceDE w:val="0"/>
        <w:autoSpaceDN w:val="0"/>
        <w:adjustRightInd w:val="0"/>
        <w:spacing w:after="240" w:line="360" w:lineRule="auto"/>
        <w:ind w:left="360"/>
        <w:jc w:val="both"/>
        <w:rPr>
          <w:rFonts w:ascii="Cambria" w:hAnsi="Cambria" w:cs="Arial"/>
          <w:color w:val="000000"/>
          <w:lang w:val="en-GB"/>
        </w:rPr>
      </w:pPr>
      <w:r>
        <w:rPr>
          <w:rFonts w:ascii="Cambria" w:hAnsi="Cambria" w:cs="Arial"/>
          <w:color w:val="000000"/>
          <w:lang w:val="en-GB"/>
        </w:rPr>
        <w:t>On segregation of Wheeling Business from Retail supply as per Gazette Notification dtd.14</w:t>
      </w:r>
      <w:r w:rsidRPr="00BC2E81">
        <w:rPr>
          <w:rFonts w:ascii="Cambria" w:hAnsi="Cambria" w:cs="Arial"/>
          <w:color w:val="000000"/>
          <w:vertAlign w:val="superscript"/>
          <w:lang w:val="en-GB"/>
        </w:rPr>
        <w:t>th</w:t>
      </w:r>
      <w:r>
        <w:rPr>
          <w:rFonts w:ascii="Cambria" w:hAnsi="Cambria" w:cs="Arial"/>
          <w:color w:val="000000"/>
          <w:lang w:val="en-GB"/>
        </w:rPr>
        <w:t xml:space="preserve"> Nov 2014, where in the regulation regarding Terms and Conditions for Determination of Wheeling Tariff and Retail Supply Tariff has been notified. As per the said regulation the licensee is required to file its Business Plan for </w:t>
      </w:r>
      <w:r w:rsidR="00424F57">
        <w:rPr>
          <w:rFonts w:ascii="Cambria" w:hAnsi="Cambria" w:cs="Arial"/>
          <w:color w:val="000000"/>
          <w:lang w:val="en-GB"/>
        </w:rPr>
        <w:t>4</w:t>
      </w:r>
      <w:r w:rsidR="00424F57" w:rsidRPr="00424F57">
        <w:rPr>
          <w:rFonts w:ascii="Cambria" w:hAnsi="Cambria" w:cs="Arial"/>
          <w:color w:val="000000"/>
          <w:vertAlign w:val="superscript"/>
          <w:lang w:val="en-GB"/>
        </w:rPr>
        <w:t>th</w:t>
      </w:r>
      <w:r w:rsidR="00424F57">
        <w:rPr>
          <w:rFonts w:ascii="Cambria" w:hAnsi="Cambria" w:cs="Arial"/>
          <w:color w:val="000000"/>
          <w:lang w:val="en-GB"/>
        </w:rPr>
        <w:t xml:space="preserve"> </w:t>
      </w:r>
      <w:r>
        <w:rPr>
          <w:rFonts w:ascii="Cambria" w:hAnsi="Cambria" w:cs="Arial"/>
          <w:color w:val="000000"/>
          <w:lang w:val="en-GB"/>
        </w:rPr>
        <w:t xml:space="preserve">control period </w:t>
      </w:r>
      <w:r w:rsidR="00424F57">
        <w:rPr>
          <w:rFonts w:ascii="Cambria" w:hAnsi="Cambria" w:cs="Arial"/>
          <w:color w:val="000000"/>
          <w:lang w:val="en-GB"/>
        </w:rPr>
        <w:t>i.e. from FY 2019-20</w:t>
      </w:r>
      <w:r w:rsidR="00424F57" w:rsidRPr="005B07FB">
        <w:rPr>
          <w:rFonts w:ascii="Cambria" w:hAnsi="Cambria" w:cs="Arial"/>
          <w:color w:val="000000"/>
          <w:lang w:val="en-GB"/>
        </w:rPr>
        <w:t xml:space="preserve"> to 2023-24</w:t>
      </w:r>
      <w:r w:rsidR="00424F57">
        <w:rPr>
          <w:rFonts w:ascii="Cambria" w:hAnsi="Cambria" w:cs="Arial"/>
          <w:color w:val="000000"/>
          <w:lang w:val="en-GB"/>
        </w:rPr>
        <w:t xml:space="preserve">. </w:t>
      </w:r>
      <w:r w:rsidR="003A76D4" w:rsidRPr="005B07FB">
        <w:rPr>
          <w:rFonts w:ascii="Cambria" w:hAnsi="Cambria" w:cs="Arial"/>
          <w:color w:val="000000"/>
          <w:lang w:val="en-GB"/>
        </w:rPr>
        <w:t xml:space="preserve">The Utility is in the process of preparation of the Business Plan for the </w:t>
      </w:r>
      <w:r w:rsidR="001930F1" w:rsidRPr="005B07FB">
        <w:rPr>
          <w:rFonts w:ascii="Cambria" w:hAnsi="Cambria" w:cs="Arial"/>
          <w:color w:val="000000"/>
          <w:lang w:val="en-GB"/>
        </w:rPr>
        <w:t>4</w:t>
      </w:r>
      <w:r w:rsidR="001930F1" w:rsidRPr="005B07FB">
        <w:rPr>
          <w:rFonts w:ascii="Cambria" w:hAnsi="Cambria" w:cs="Arial"/>
          <w:color w:val="000000"/>
          <w:vertAlign w:val="superscript"/>
          <w:lang w:val="en-GB"/>
        </w:rPr>
        <w:t>th</w:t>
      </w:r>
      <w:r w:rsidR="001930F1" w:rsidRPr="005B07FB">
        <w:rPr>
          <w:rFonts w:ascii="Cambria" w:hAnsi="Cambria" w:cs="Arial"/>
          <w:color w:val="000000"/>
          <w:lang w:val="en-GB"/>
        </w:rPr>
        <w:t xml:space="preserve"> </w:t>
      </w:r>
      <w:r w:rsidR="003A76D4" w:rsidRPr="005B07FB">
        <w:rPr>
          <w:rFonts w:ascii="Cambria" w:hAnsi="Cambria" w:cs="Arial"/>
          <w:color w:val="000000"/>
          <w:lang w:val="en-GB"/>
        </w:rPr>
        <w:t>Control Period</w:t>
      </w:r>
      <w:r w:rsidR="001930F1" w:rsidRPr="005B07FB">
        <w:rPr>
          <w:rFonts w:ascii="Cambria" w:hAnsi="Cambria" w:cs="Arial"/>
          <w:color w:val="000000"/>
          <w:lang w:val="en-GB"/>
        </w:rPr>
        <w:t xml:space="preserve"> </w:t>
      </w:r>
      <w:r w:rsidR="00424F57" w:rsidRPr="005B07FB">
        <w:rPr>
          <w:rFonts w:ascii="Cambria" w:hAnsi="Cambria" w:cs="Arial"/>
          <w:color w:val="000000"/>
          <w:lang w:val="en-GB"/>
        </w:rPr>
        <w:t>a</w:t>
      </w:r>
      <w:r w:rsidR="00424F57">
        <w:rPr>
          <w:rFonts w:ascii="Cambria" w:hAnsi="Cambria" w:cs="Arial"/>
          <w:color w:val="000000"/>
          <w:lang w:val="en-GB"/>
        </w:rPr>
        <w:t>nd shall be submitting the same separately</w:t>
      </w:r>
    </w:p>
    <w:p w:rsidR="005B07FB" w:rsidRPr="00180D33" w:rsidRDefault="005B07FB" w:rsidP="005B07FB">
      <w:pPr>
        <w:autoSpaceDE w:val="0"/>
        <w:autoSpaceDN w:val="0"/>
        <w:adjustRightInd w:val="0"/>
        <w:spacing w:after="240" w:line="360" w:lineRule="auto"/>
        <w:ind w:left="360"/>
        <w:jc w:val="both"/>
        <w:rPr>
          <w:rFonts w:ascii="Cambria" w:hAnsi="Cambria" w:cs="Arial"/>
          <w:b/>
          <w:color w:val="000000"/>
          <w:lang w:val="en-GB"/>
        </w:rPr>
      </w:pPr>
      <w:r>
        <w:rPr>
          <w:rFonts w:ascii="Cambria" w:hAnsi="Cambria" w:cs="Arial"/>
          <w:b/>
          <w:color w:val="000000"/>
          <w:lang w:val="en-GB"/>
        </w:rPr>
        <w:t>Basis of preparation of ARR</w:t>
      </w:r>
    </w:p>
    <w:p w:rsidR="00037AF8" w:rsidRPr="000B7D3A" w:rsidRDefault="00A56546" w:rsidP="00037AF8">
      <w:pPr>
        <w:autoSpaceDE w:val="0"/>
        <w:autoSpaceDN w:val="0"/>
        <w:adjustRightInd w:val="0"/>
        <w:spacing w:after="240" w:line="360" w:lineRule="auto"/>
        <w:ind w:left="360"/>
        <w:jc w:val="both"/>
        <w:rPr>
          <w:rFonts w:ascii="Cambria" w:hAnsi="Cambria" w:cs="Arial"/>
          <w:color w:val="000000"/>
          <w:lang w:val="en-GB"/>
        </w:rPr>
      </w:pPr>
      <w:r>
        <w:rPr>
          <w:rFonts w:ascii="Cambria" w:hAnsi="Cambria" w:cs="Arial"/>
          <w:color w:val="000000"/>
          <w:lang w:val="en-GB"/>
        </w:rPr>
        <w:t>T</w:t>
      </w:r>
      <w:r w:rsidR="00037AF8" w:rsidRPr="000B7D3A">
        <w:rPr>
          <w:rFonts w:ascii="Cambria" w:hAnsi="Cambria" w:cs="Arial"/>
          <w:color w:val="000000"/>
          <w:lang w:val="en-GB"/>
        </w:rPr>
        <w:t xml:space="preserve">he </w:t>
      </w:r>
      <w:r w:rsidR="006C38E9">
        <w:rPr>
          <w:rFonts w:ascii="Cambria" w:hAnsi="Cambria" w:cs="Arial"/>
          <w:color w:val="000000"/>
          <w:lang w:val="en-GB"/>
        </w:rPr>
        <w:t xml:space="preserve">utility </w:t>
      </w:r>
      <w:r w:rsidR="00037AF8" w:rsidRPr="000B7D3A">
        <w:rPr>
          <w:rFonts w:ascii="Cambria" w:hAnsi="Cambria" w:cs="Arial"/>
          <w:color w:val="000000"/>
          <w:lang w:val="en-GB"/>
        </w:rPr>
        <w:t xml:space="preserve">in accordance with the license conditions, have calculated the total expected revenue from sale of electricity charges in accordance with the provisions of the OERC (Terms and Conditions for determination of </w:t>
      </w:r>
      <w:r w:rsidR="00F25AB3">
        <w:rPr>
          <w:rFonts w:ascii="Cambria" w:hAnsi="Cambria" w:cs="Arial"/>
          <w:color w:val="000000"/>
          <w:lang w:val="en-GB"/>
        </w:rPr>
        <w:t xml:space="preserve">wheeling </w:t>
      </w:r>
      <w:r w:rsidR="00037AF8" w:rsidRPr="000B7D3A">
        <w:rPr>
          <w:rFonts w:ascii="Cambria" w:hAnsi="Cambria" w:cs="Arial"/>
          <w:color w:val="000000"/>
          <w:lang w:val="en-GB"/>
        </w:rPr>
        <w:t>tariff</w:t>
      </w:r>
      <w:r w:rsidR="00F25AB3">
        <w:rPr>
          <w:rFonts w:ascii="Cambria" w:hAnsi="Cambria" w:cs="Arial"/>
          <w:color w:val="000000"/>
          <w:lang w:val="en-GB"/>
        </w:rPr>
        <w:t xml:space="preserve"> and Retail Supply Tariff</w:t>
      </w:r>
      <w:r w:rsidR="00037AF8" w:rsidRPr="000B7D3A">
        <w:rPr>
          <w:rFonts w:ascii="Cambria" w:hAnsi="Cambria" w:cs="Arial"/>
          <w:color w:val="000000"/>
          <w:lang w:val="en-GB"/>
        </w:rPr>
        <w:t>) Regulations 20</w:t>
      </w:r>
      <w:r w:rsidR="00F25AB3">
        <w:rPr>
          <w:rFonts w:ascii="Cambria" w:hAnsi="Cambria" w:cs="Arial"/>
          <w:color w:val="000000"/>
          <w:lang w:val="en-GB"/>
        </w:rPr>
        <w:t>1</w:t>
      </w:r>
      <w:r w:rsidR="00037AF8" w:rsidRPr="000B7D3A">
        <w:rPr>
          <w:rFonts w:ascii="Cambria" w:hAnsi="Cambria" w:cs="Arial"/>
          <w:color w:val="000000"/>
          <w:lang w:val="en-GB"/>
        </w:rPr>
        <w:t>4 and hereby submitting in the foregoing paragraphs as per the following structure.</w:t>
      </w:r>
    </w:p>
    <w:p w:rsidR="00037AF8" w:rsidRPr="000B7D3A" w:rsidRDefault="00037AF8" w:rsidP="006935E2">
      <w:pPr>
        <w:numPr>
          <w:ilvl w:val="0"/>
          <w:numId w:val="6"/>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 xml:space="preserve">A statement with full details of its expected annual revenue and costs for the </w:t>
      </w:r>
      <w:r w:rsidR="006339BD">
        <w:rPr>
          <w:rFonts w:ascii="Cambria" w:hAnsi="Cambria" w:cs="Arial"/>
          <w:color w:val="000000"/>
          <w:lang w:val="en-GB"/>
        </w:rPr>
        <w:t>ensuing year FY 20-21</w:t>
      </w:r>
      <w:r w:rsidRPr="000B7D3A">
        <w:rPr>
          <w:rFonts w:ascii="Cambria" w:hAnsi="Cambria" w:cs="Arial"/>
          <w:color w:val="000000"/>
          <w:lang w:val="en-GB"/>
        </w:rPr>
        <w:t xml:space="preserve"> for its Licensed Business along with techn</w:t>
      </w:r>
      <w:r w:rsidR="00180D33">
        <w:rPr>
          <w:rFonts w:ascii="Cambria" w:hAnsi="Cambria" w:cs="Arial"/>
          <w:color w:val="000000"/>
          <w:lang w:val="en-GB"/>
        </w:rPr>
        <w:t xml:space="preserve">ical, commercial, performance </w:t>
      </w:r>
      <w:r w:rsidRPr="000B7D3A">
        <w:rPr>
          <w:rFonts w:ascii="Cambria" w:hAnsi="Cambria" w:cs="Arial"/>
          <w:color w:val="000000"/>
          <w:lang w:val="en-GB"/>
        </w:rPr>
        <w:t>and financial parameters in the formats prescribed by the Hon’ble Commission.</w:t>
      </w:r>
    </w:p>
    <w:p w:rsidR="00F25AB3" w:rsidRDefault="00F25AB3" w:rsidP="006935E2">
      <w:pPr>
        <w:numPr>
          <w:ilvl w:val="0"/>
          <w:numId w:val="6"/>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 xml:space="preserve">Compliance </w:t>
      </w:r>
      <w:r>
        <w:rPr>
          <w:rFonts w:ascii="Cambria" w:hAnsi="Cambria" w:cs="Arial"/>
          <w:color w:val="000000"/>
          <w:lang w:val="en-GB"/>
        </w:rPr>
        <w:t xml:space="preserve">to </w:t>
      </w:r>
      <w:r w:rsidRPr="000B7D3A">
        <w:rPr>
          <w:rFonts w:ascii="Cambria" w:hAnsi="Cambria" w:cs="Arial"/>
          <w:color w:val="000000"/>
          <w:lang w:val="en-GB"/>
        </w:rPr>
        <w:t>the directives issued by the Hon’ble Commission</w:t>
      </w:r>
    </w:p>
    <w:p w:rsidR="00037AF8" w:rsidRPr="008B691C" w:rsidRDefault="000B7D3A" w:rsidP="006935E2">
      <w:pPr>
        <w:numPr>
          <w:ilvl w:val="0"/>
          <w:numId w:val="6"/>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 xml:space="preserve">Statement of allocation of wheeling and retail supply cost as per </w:t>
      </w:r>
      <w:r w:rsidRPr="000B7D3A">
        <w:rPr>
          <w:rFonts w:ascii="Cambria" w:hAnsi="Cambria" w:cs="Arial"/>
          <w:lang w:val="en-GB"/>
        </w:rPr>
        <w:t xml:space="preserve">provisions of  OERC </w:t>
      </w:r>
      <w:r w:rsidRPr="000B7D3A">
        <w:rPr>
          <w:rFonts w:ascii="Cambria" w:hAnsi="Cambria"/>
        </w:rPr>
        <w:t>(Terms and Conditions for determination of Wheeling Tariff and Retail Supply Tariff) Regulations, 2014</w:t>
      </w:r>
    </w:p>
    <w:p w:rsidR="000B7D3A" w:rsidRDefault="000B7D3A" w:rsidP="006935E2">
      <w:pPr>
        <w:numPr>
          <w:ilvl w:val="0"/>
          <w:numId w:val="6"/>
        </w:numPr>
        <w:autoSpaceDE w:val="0"/>
        <w:autoSpaceDN w:val="0"/>
        <w:adjustRightInd w:val="0"/>
        <w:spacing w:line="360" w:lineRule="auto"/>
        <w:jc w:val="both"/>
        <w:rPr>
          <w:rFonts w:ascii="Cambria" w:hAnsi="Cambria" w:cs="Arial"/>
          <w:color w:val="000000"/>
          <w:lang w:val="en-GB"/>
        </w:rPr>
      </w:pPr>
      <w:r>
        <w:rPr>
          <w:rFonts w:ascii="Cambria" w:hAnsi="Cambria" w:cs="Arial"/>
          <w:color w:val="000000"/>
          <w:lang w:val="en-GB"/>
        </w:rPr>
        <w:t>Proposal for tariff rationalisation measures.</w:t>
      </w:r>
    </w:p>
    <w:p w:rsidR="000B7D3A" w:rsidRPr="000B7D3A" w:rsidRDefault="000B7D3A" w:rsidP="000B7D3A">
      <w:pPr>
        <w:autoSpaceDE w:val="0"/>
        <w:autoSpaceDN w:val="0"/>
        <w:adjustRightInd w:val="0"/>
        <w:spacing w:line="360" w:lineRule="auto"/>
        <w:ind w:left="720"/>
        <w:jc w:val="both"/>
        <w:rPr>
          <w:rFonts w:ascii="Cambria" w:hAnsi="Cambria" w:cs="Arial"/>
          <w:color w:val="000000"/>
          <w:lang w:val="en-GB"/>
        </w:rPr>
      </w:pPr>
    </w:p>
    <w:p w:rsidR="00037AF8" w:rsidRPr="000B7D3A" w:rsidRDefault="00037AF8" w:rsidP="00037AF8">
      <w:pPr>
        <w:numPr>
          <w:ilvl w:val="1"/>
          <w:numId w:val="2"/>
        </w:numPr>
        <w:autoSpaceDE w:val="0"/>
        <w:autoSpaceDN w:val="0"/>
        <w:adjustRightInd w:val="0"/>
        <w:spacing w:after="240" w:line="360" w:lineRule="auto"/>
        <w:jc w:val="both"/>
        <w:rPr>
          <w:rFonts w:ascii="Cambria" w:hAnsi="Cambria" w:cs="Arial"/>
          <w:color w:val="000000"/>
          <w:lang w:val="en-GB"/>
        </w:rPr>
      </w:pPr>
      <w:r w:rsidRPr="000B7D3A">
        <w:rPr>
          <w:rFonts w:ascii="Cambria" w:hAnsi="Cambria" w:cs="Arial"/>
          <w:color w:val="000000"/>
          <w:lang w:val="en-GB"/>
        </w:rPr>
        <w:t xml:space="preserve">That, the </w:t>
      </w:r>
      <w:r w:rsidR="006C38E9">
        <w:rPr>
          <w:rFonts w:ascii="Cambria" w:hAnsi="Cambria" w:cs="Arial"/>
          <w:color w:val="000000"/>
          <w:lang w:val="en-GB"/>
        </w:rPr>
        <w:t xml:space="preserve">utility </w:t>
      </w:r>
      <w:r w:rsidRPr="000B7D3A">
        <w:rPr>
          <w:rFonts w:ascii="Cambria" w:hAnsi="Cambria" w:cs="Arial"/>
          <w:color w:val="000000"/>
          <w:lang w:val="en-GB"/>
        </w:rPr>
        <w:t>has made certain assumptions while projecti</w:t>
      </w:r>
      <w:r w:rsidR="006339BD">
        <w:rPr>
          <w:rFonts w:ascii="Cambria" w:hAnsi="Cambria" w:cs="Arial"/>
          <w:color w:val="000000"/>
          <w:lang w:val="en-GB"/>
        </w:rPr>
        <w:t>ng its operations for the FY 2020-21</w:t>
      </w:r>
      <w:r w:rsidRPr="000B7D3A">
        <w:rPr>
          <w:rFonts w:ascii="Cambria" w:hAnsi="Cambria" w:cs="Arial"/>
          <w:color w:val="000000"/>
          <w:lang w:val="en-GB"/>
        </w:rPr>
        <w:t xml:space="preserve">. These projections are based upon the best estimates of the operations and prospective plans of the </w:t>
      </w:r>
      <w:r w:rsidR="00F25AB3">
        <w:rPr>
          <w:rFonts w:ascii="Cambria" w:hAnsi="Cambria" w:cs="Arial"/>
          <w:color w:val="000000"/>
          <w:lang w:val="en-GB"/>
        </w:rPr>
        <w:t xml:space="preserve">utility </w:t>
      </w:r>
      <w:r w:rsidRPr="000B7D3A">
        <w:rPr>
          <w:rFonts w:ascii="Cambria" w:hAnsi="Cambria" w:cs="Arial"/>
          <w:color w:val="000000"/>
          <w:lang w:val="en-GB"/>
        </w:rPr>
        <w:t xml:space="preserve">at the time of the ARR filing. The actual ARR and the revenue figures would be different from the above estimates due to several external factors such as power purchase cost and change in consumer mix/ consumption etc. </w:t>
      </w:r>
    </w:p>
    <w:p w:rsidR="00282E0E" w:rsidRPr="00155DDE" w:rsidRDefault="00037AF8" w:rsidP="006C38E9">
      <w:pPr>
        <w:numPr>
          <w:ilvl w:val="1"/>
          <w:numId w:val="2"/>
        </w:numPr>
        <w:autoSpaceDE w:val="0"/>
        <w:autoSpaceDN w:val="0"/>
        <w:adjustRightInd w:val="0"/>
        <w:spacing w:after="240" w:line="360" w:lineRule="auto"/>
        <w:jc w:val="both"/>
        <w:rPr>
          <w:rFonts w:ascii="Cambria" w:hAnsi="Cambria" w:cs="Arial"/>
          <w:color w:val="000000"/>
          <w:lang w:val="en-GB"/>
        </w:rPr>
      </w:pPr>
      <w:r w:rsidRPr="00155DDE">
        <w:rPr>
          <w:rFonts w:ascii="Cambria" w:hAnsi="Cambria" w:cs="Arial"/>
          <w:color w:val="000000"/>
          <w:lang w:val="en-GB"/>
        </w:rPr>
        <w:lastRenderedPageBreak/>
        <w:t>Based on estimated Revenue Requirement and Revenue at existing ta</w:t>
      </w:r>
      <w:r w:rsidR="006339BD">
        <w:rPr>
          <w:rFonts w:ascii="Cambria" w:hAnsi="Cambria" w:cs="Arial"/>
          <w:color w:val="000000"/>
          <w:lang w:val="en-GB"/>
        </w:rPr>
        <w:t>riff, the revenue gap for FY 2020-21</w:t>
      </w:r>
      <w:r w:rsidRPr="00155DDE">
        <w:rPr>
          <w:rFonts w:ascii="Cambria" w:hAnsi="Cambria" w:cs="Arial"/>
          <w:color w:val="000000"/>
          <w:lang w:val="en-GB"/>
        </w:rPr>
        <w:t xml:space="preserve"> works out to Rs.</w:t>
      </w:r>
      <w:r w:rsidR="0049168A">
        <w:rPr>
          <w:rFonts w:ascii="Cambria" w:hAnsi="Cambria" w:cs="Arial"/>
          <w:color w:val="000000"/>
          <w:lang w:val="en-GB"/>
        </w:rPr>
        <w:t>23</w:t>
      </w:r>
      <w:r w:rsidR="00155DDE" w:rsidRPr="00155DDE">
        <w:rPr>
          <w:rFonts w:ascii="Cambria" w:hAnsi="Cambria" w:cs="Arial"/>
          <w:color w:val="000000"/>
          <w:lang w:val="en-GB"/>
        </w:rPr>
        <w:t>7</w:t>
      </w:r>
      <w:r w:rsidR="0049168A">
        <w:rPr>
          <w:rFonts w:ascii="Cambria" w:hAnsi="Cambria" w:cs="Arial"/>
          <w:color w:val="000000"/>
          <w:lang w:val="en-GB"/>
        </w:rPr>
        <w:t>.27</w:t>
      </w:r>
      <w:r w:rsidRPr="00155DDE">
        <w:rPr>
          <w:rFonts w:ascii="Cambria" w:hAnsi="Cambria" w:cs="Arial"/>
          <w:color w:val="000000"/>
          <w:lang w:val="en-GB"/>
        </w:rPr>
        <w:t xml:space="preserve"> Crore. </w:t>
      </w:r>
    </w:p>
    <w:p w:rsidR="00037AF8" w:rsidRPr="0011654B" w:rsidRDefault="00037AF8" w:rsidP="00037AF8">
      <w:pPr>
        <w:pStyle w:val="Caption"/>
        <w:keepNext/>
        <w:spacing w:line="360" w:lineRule="auto"/>
        <w:rPr>
          <w:rFonts w:ascii="Cambria" w:hAnsi="Cambria" w:cs="Arial"/>
          <w:b/>
          <w:color w:val="000000"/>
          <w:sz w:val="24"/>
          <w:szCs w:val="24"/>
        </w:rPr>
      </w:pPr>
      <w:r w:rsidRPr="0011654B">
        <w:rPr>
          <w:rFonts w:ascii="Cambria" w:hAnsi="Cambria" w:cs="Arial"/>
          <w:b/>
          <w:color w:val="000000"/>
          <w:sz w:val="24"/>
          <w:szCs w:val="24"/>
        </w:rPr>
        <w:t>Table 1</w:t>
      </w:r>
      <w:r w:rsidR="00BE0EC9" w:rsidRPr="0011654B">
        <w:rPr>
          <w:rFonts w:ascii="Cambria" w:hAnsi="Cambria" w:cs="Arial"/>
          <w:b/>
          <w:color w:val="000000"/>
          <w:sz w:val="24"/>
          <w:szCs w:val="24"/>
        </w:rPr>
        <w:t>A</w:t>
      </w:r>
      <w:r w:rsidRPr="0011654B">
        <w:rPr>
          <w:rFonts w:ascii="Cambria" w:hAnsi="Cambria" w:cs="Arial"/>
          <w:b/>
          <w:color w:val="000000"/>
          <w:sz w:val="24"/>
          <w:szCs w:val="24"/>
        </w:rPr>
        <w:t xml:space="preserve"> : Revenue Gap </w:t>
      </w:r>
    </w:p>
    <w:tbl>
      <w:tblPr>
        <w:tblW w:w="8926"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6127"/>
        <w:gridCol w:w="2799"/>
      </w:tblGrid>
      <w:tr w:rsidR="00EB3D8D" w:rsidRPr="0011654B" w:rsidTr="003D2AC4">
        <w:trPr>
          <w:trHeight w:val="340"/>
          <w:jc w:val="center"/>
        </w:trPr>
        <w:tc>
          <w:tcPr>
            <w:tcW w:w="6127" w:type="dxa"/>
            <w:shd w:val="solid" w:color="000080" w:fill="FFFFFF"/>
          </w:tcPr>
          <w:p w:rsidR="00EB3D8D" w:rsidRPr="0011654B" w:rsidRDefault="00EB3D8D" w:rsidP="00046940">
            <w:pPr>
              <w:rPr>
                <w:rFonts w:ascii="Cambria" w:hAnsi="Cambria" w:cs="Arial"/>
                <w:b/>
                <w:bCs/>
                <w:color w:val="000000"/>
              </w:rPr>
            </w:pPr>
          </w:p>
        </w:tc>
        <w:tc>
          <w:tcPr>
            <w:tcW w:w="2799" w:type="dxa"/>
            <w:shd w:val="solid" w:color="000080" w:fill="FFFFFF"/>
          </w:tcPr>
          <w:p w:rsidR="00EB3D8D" w:rsidRPr="0011654B" w:rsidRDefault="00EB3D8D" w:rsidP="00046940">
            <w:pPr>
              <w:jc w:val="center"/>
              <w:rPr>
                <w:rFonts w:ascii="Cambria" w:hAnsi="Cambria" w:cs="Arial"/>
                <w:b/>
                <w:bCs/>
                <w:color w:val="000000"/>
              </w:rPr>
            </w:pPr>
            <w:r w:rsidRPr="0011654B">
              <w:rPr>
                <w:rFonts w:ascii="Cambria" w:hAnsi="Cambria" w:cs="Arial"/>
                <w:b/>
                <w:color w:val="000000"/>
              </w:rPr>
              <w:t>Rs Crore</w:t>
            </w:r>
          </w:p>
        </w:tc>
      </w:tr>
      <w:tr w:rsidR="00EB3D8D" w:rsidRPr="0011654B" w:rsidTr="003D2AC4">
        <w:trPr>
          <w:trHeight w:val="340"/>
          <w:jc w:val="center"/>
        </w:trPr>
        <w:tc>
          <w:tcPr>
            <w:tcW w:w="6127" w:type="dxa"/>
            <w:vAlign w:val="center"/>
          </w:tcPr>
          <w:p w:rsidR="00EB3D8D" w:rsidRPr="0011654B" w:rsidRDefault="00EB3D8D" w:rsidP="00046940">
            <w:pPr>
              <w:keepNext/>
              <w:keepLines/>
              <w:autoSpaceDE w:val="0"/>
              <w:autoSpaceDN w:val="0"/>
              <w:adjustRightInd w:val="0"/>
              <w:outlineLvl w:val="0"/>
              <w:rPr>
                <w:rFonts w:ascii="Cambria" w:hAnsi="Cambria" w:cs="Arial"/>
                <w:color w:val="000000"/>
                <w:lang w:val="en-GB"/>
              </w:rPr>
            </w:pPr>
          </w:p>
          <w:p w:rsidR="00EB3D8D" w:rsidRPr="0011654B" w:rsidRDefault="00EB3D8D" w:rsidP="00046940">
            <w:pPr>
              <w:autoSpaceDE w:val="0"/>
              <w:autoSpaceDN w:val="0"/>
              <w:adjustRightInd w:val="0"/>
              <w:rPr>
                <w:rFonts w:ascii="Cambria" w:hAnsi="Cambria" w:cs="Arial"/>
                <w:color w:val="000000"/>
                <w:lang w:val="en-GB"/>
              </w:rPr>
            </w:pPr>
            <w:r w:rsidRPr="0011654B">
              <w:rPr>
                <w:rFonts w:ascii="Cambria" w:hAnsi="Cambria" w:cs="Arial"/>
                <w:color w:val="000000"/>
                <w:lang w:val="en-GB"/>
              </w:rPr>
              <w:t xml:space="preserve">Expenditure including Special Appropriation </w:t>
            </w:r>
          </w:p>
          <w:p w:rsidR="00EB3D8D" w:rsidRPr="0011654B" w:rsidRDefault="00EB3D8D" w:rsidP="00046940">
            <w:pPr>
              <w:autoSpaceDE w:val="0"/>
              <w:autoSpaceDN w:val="0"/>
              <w:adjustRightInd w:val="0"/>
              <w:rPr>
                <w:rFonts w:ascii="Cambria" w:hAnsi="Cambria" w:cs="Arial"/>
                <w:color w:val="000000"/>
                <w:lang w:val="en-GB"/>
              </w:rPr>
            </w:pPr>
          </w:p>
        </w:tc>
        <w:tc>
          <w:tcPr>
            <w:tcW w:w="2799" w:type="dxa"/>
            <w:vAlign w:val="center"/>
          </w:tcPr>
          <w:p w:rsidR="00EB3D8D" w:rsidRPr="00FC0224" w:rsidRDefault="00F222DE" w:rsidP="00046940">
            <w:pPr>
              <w:autoSpaceDE w:val="0"/>
              <w:autoSpaceDN w:val="0"/>
              <w:adjustRightInd w:val="0"/>
              <w:jc w:val="center"/>
              <w:rPr>
                <w:rFonts w:ascii="Cambria" w:hAnsi="Cambria" w:cs="Arial"/>
                <w:color w:val="000000"/>
                <w:lang w:val="en-GB"/>
              </w:rPr>
            </w:pPr>
            <w:r w:rsidRPr="00FC0224">
              <w:rPr>
                <w:rFonts w:ascii="Cambria" w:hAnsi="Cambria" w:cs="Arial"/>
                <w:color w:val="000000"/>
                <w:lang w:val="en-GB"/>
              </w:rPr>
              <w:t>2</w:t>
            </w:r>
            <w:r w:rsidR="006339BD" w:rsidRPr="00FC0224">
              <w:rPr>
                <w:rFonts w:ascii="Cambria" w:hAnsi="Cambria" w:cs="Arial"/>
                <w:color w:val="000000"/>
                <w:lang w:val="en-GB"/>
              </w:rPr>
              <w:t>928.75</w:t>
            </w:r>
          </w:p>
        </w:tc>
      </w:tr>
      <w:tr w:rsidR="00EB3D8D" w:rsidRPr="0011654B" w:rsidTr="003D2AC4">
        <w:trPr>
          <w:trHeight w:val="340"/>
          <w:jc w:val="center"/>
        </w:trPr>
        <w:tc>
          <w:tcPr>
            <w:tcW w:w="6127" w:type="dxa"/>
            <w:vAlign w:val="center"/>
          </w:tcPr>
          <w:p w:rsidR="00EB3D8D" w:rsidRPr="0011654B" w:rsidRDefault="00EB3D8D" w:rsidP="00046940">
            <w:pPr>
              <w:autoSpaceDE w:val="0"/>
              <w:autoSpaceDN w:val="0"/>
              <w:adjustRightInd w:val="0"/>
              <w:rPr>
                <w:rFonts w:ascii="Cambria" w:hAnsi="Cambria" w:cs="Arial"/>
                <w:color w:val="000000"/>
                <w:lang w:val="en-GB"/>
              </w:rPr>
            </w:pPr>
            <w:r w:rsidRPr="0011654B">
              <w:rPr>
                <w:rFonts w:ascii="Cambria" w:hAnsi="Cambria" w:cs="Arial"/>
                <w:color w:val="000000"/>
                <w:lang w:val="en-GB"/>
              </w:rPr>
              <w:t xml:space="preserve">Reasonable return </w:t>
            </w:r>
          </w:p>
        </w:tc>
        <w:tc>
          <w:tcPr>
            <w:tcW w:w="2799" w:type="dxa"/>
            <w:vAlign w:val="center"/>
          </w:tcPr>
          <w:p w:rsidR="00EB3D8D" w:rsidRPr="00FC0224" w:rsidRDefault="00F222DE" w:rsidP="00046940">
            <w:pPr>
              <w:autoSpaceDE w:val="0"/>
              <w:autoSpaceDN w:val="0"/>
              <w:adjustRightInd w:val="0"/>
              <w:jc w:val="center"/>
              <w:rPr>
                <w:rFonts w:ascii="Cambria" w:hAnsi="Cambria" w:cs="Arial"/>
                <w:color w:val="000000"/>
                <w:lang w:val="en-GB"/>
              </w:rPr>
            </w:pPr>
            <w:r w:rsidRPr="00FC0224">
              <w:rPr>
                <w:rFonts w:ascii="Cambria" w:hAnsi="Cambria" w:cs="Arial"/>
                <w:color w:val="000000"/>
                <w:lang w:val="en-GB"/>
              </w:rPr>
              <w:t>10.55</w:t>
            </w:r>
          </w:p>
        </w:tc>
      </w:tr>
      <w:tr w:rsidR="00EB3D8D" w:rsidRPr="0011654B" w:rsidTr="003D2AC4">
        <w:trPr>
          <w:trHeight w:val="340"/>
          <w:jc w:val="center"/>
        </w:trPr>
        <w:tc>
          <w:tcPr>
            <w:tcW w:w="6127" w:type="dxa"/>
            <w:vAlign w:val="center"/>
          </w:tcPr>
          <w:p w:rsidR="00EB3D8D" w:rsidRPr="0011654B" w:rsidRDefault="00EB3D8D" w:rsidP="00046940">
            <w:pPr>
              <w:autoSpaceDE w:val="0"/>
              <w:autoSpaceDN w:val="0"/>
              <w:adjustRightInd w:val="0"/>
              <w:rPr>
                <w:rFonts w:ascii="Cambria" w:hAnsi="Cambria" w:cs="Arial"/>
                <w:color w:val="000000"/>
                <w:lang w:val="en-GB"/>
              </w:rPr>
            </w:pPr>
            <w:r w:rsidRPr="0011654B">
              <w:rPr>
                <w:rFonts w:ascii="Cambria" w:hAnsi="Cambria" w:cs="Arial"/>
                <w:color w:val="000000"/>
                <w:lang w:val="en-GB"/>
              </w:rPr>
              <w:t>Sub Total</w:t>
            </w:r>
          </w:p>
        </w:tc>
        <w:tc>
          <w:tcPr>
            <w:tcW w:w="2799" w:type="dxa"/>
            <w:vAlign w:val="center"/>
          </w:tcPr>
          <w:p w:rsidR="00EB3D8D" w:rsidRPr="00FC0224" w:rsidRDefault="0049168A" w:rsidP="0011654B">
            <w:pPr>
              <w:autoSpaceDE w:val="0"/>
              <w:autoSpaceDN w:val="0"/>
              <w:adjustRightInd w:val="0"/>
              <w:jc w:val="center"/>
              <w:rPr>
                <w:rFonts w:ascii="Cambria" w:hAnsi="Cambria" w:cs="Arial"/>
                <w:b/>
                <w:color w:val="000000"/>
                <w:lang w:val="en-GB"/>
              </w:rPr>
            </w:pPr>
            <w:r w:rsidRPr="00FC0224">
              <w:rPr>
                <w:rFonts w:ascii="Cambria" w:hAnsi="Cambria" w:cs="Arial"/>
                <w:b/>
                <w:color w:val="000000"/>
                <w:lang w:val="en-GB"/>
              </w:rPr>
              <w:t>2939.30</w:t>
            </w:r>
          </w:p>
        </w:tc>
      </w:tr>
      <w:tr w:rsidR="00EB3D8D" w:rsidRPr="0011654B" w:rsidTr="003D2AC4">
        <w:trPr>
          <w:trHeight w:val="340"/>
          <w:jc w:val="center"/>
        </w:trPr>
        <w:tc>
          <w:tcPr>
            <w:tcW w:w="6127" w:type="dxa"/>
            <w:vAlign w:val="center"/>
          </w:tcPr>
          <w:p w:rsidR="00EB3D8D" w:rsidRPr="0011654B" w:rsidRDefault="00EB3D8D" w:rsidP="00046940">
            <w:pPr>
              <w:autoSpaceDE w:val="0"/>
              <w:autoSpaceDN w:val="0"/>
              <w:adjustRightInd w:val="0"/>
              <w:rPr>
                <w:rFonts w:ascii="Cambria" w:hAnsi="Cambria" w:cs="Arial"/>
                <w:color w:val="000000"/>
                <w:lang w:val="en-GB"/>
              </w:rPr>
            </w:pPr>
            <w:r w:rsidRPr="0011654B">
              <w:rPr>
                <w:rFonts w:ascii="Cambria" w:hAnsi="Cambria" w:cs="Arial"/>
                <w:color w:val="000000"/>
                <w:lang w:val="en-GB"/>
              </w:rPr>
              <w:t xml:space="preserve">Revenue from sale of power at existing tariffs </w:t>
            </w:r>
          </w:p>
        </w:tc>
        <w:tc>
          <w:tcPr>
            <w:tcW w:w="2799" w:type="dxa"/>
            <w:vAlign w:val="center"/>
          </w:tcPr>
          <w:p w:rsidR="00EB3D8D" w:rsidRPr="00FC0224" w:rsidRDefault="0049168A" w:rsidP="0011654B">
            <w:pPr>
              <w:autoSpaceDE w:val="0"/>
              <w:autoSpaceDN w:val="0"/>
              <w:adjustRightInd w:val="0"/>
              <w:jc w:val="center"/>
              <w:rPr>
                <w:rFonts w:ascii="Cambria" w:hAnsi="Cambria" w:cs="Arial"/>
                <w:color w:val="000000"/>
                <w:lang w:val="en-GB"/>
              </w:rPr>
            </w:pPr>
            <w:r w:rsidRPr="00FC0224">
              <w:rPr>
                <w:rFonts w:ascii="Cambria" w:hAnsi="Cambria" w:cs="Arial"/>
                <w:color w:val="000000"/>
                <w:lang w:val="en-GB"/>
              </w:rPr>
              <w:t>2623.1</w:t>
            </w:r>
            <w:r w:rsidR="00FC0224" w:rsidRPr="00FC0224">
              <w:rPr>
                <w:rFonts w:ascii="Cambria" w:hAnsi="Cambria" w:cs="Arial"/>
                <w:color w:val="000000"/>
                <w:lang w:val="en-GB"/>
              </w:rPr>
              <w:t>8</w:t>
            </w:r>
          </w:p>
        </w:tc>
      </w:tr>
      <w:tr w:rsidR="00EB3D8D" w:rsidRPr="0011654B" w:rsidTr="003D2AC4">
        <w:trPr>
          <w:trHeight w:val="340"/>
          <w:jc w:val="center"/>
        </w:trPr>
        <w:tc>
          <w:tcPr>
            <w:tcW w:w="6127" w:type="dxa"/>
            <w:vAlign w:val="center"/>
          </w:tcPr>
          <w:p w:rsidR="00EB3D8D" w:rsidRPr="0011654B" w:rsidRDefault="00EB3D8D" w:rsidP="00046940">
            <w:pPr>
              <w:autoSpaceDE w:val="0"/>
              <w:autoSpaceDN w:val="0"/>
              <w:adjustRightInd w:val="0"/>
              <w:rPr>
                <w:rFonts w:ascii="Cambria" w:hAnsi="Cambria" w:cs="Arial"/>
                <w:color w:val="000000"/>
                <w:lang w:val="en-GB"/>
              </w:rPr>
            </w:pPr>
            <w:r w:rsidRPr="0011654B">
              <w:rPr>
                <w:rFonts w:ascii="Cambria" w:hAnsi="Cambria" w:cs="Arial"/>
                <w:color w:val="000000"/>
                <w:lang w:val="en-GB"/>
              </w:rPr>
              <w:t>Non Tariff Income</w:t>
            </w:r>
          </w:p>
        </w:tc>
        <w:tc>
          <w:tcPr>
            <w:tcW w:w="2799" w:type="dxa"/>
            <w:vAlign w:val="center"/>
          </w:tcPr>
          <w:p w:rsidR="00EB3D8D" w:rsidRPr="00FC0224" w:rsidRDefault="0049168A" w:rsidP="00046940">
            <w:pPr>
              <w:autoSpaceDE w:val="0"/>
              <w:autoSpaceDN w:val="0"/>
              <w:adjustRightInd w:val="0"/>
              <w:jc w:val="center"/>
              <w:rPr>
                <w:rFonts w:ascii="Cambria" w:hAnsi="Cambria" w:cs="Arial"/>
                <w:color w:val="000000"/>
                <w:lang w:val="en-GB"/>
              </w:rPr>
            </w:pPr>
            <w:r w:rsidRPr="00FC0224">
              <w:rPr>
                <w:rFonts w:ascii="Cambria" w:hAnsi="Cambria" w:cs="Arial"/>
                <w:color w:val="000000"/>
                <w:lang w:val="en-GB"/>
              </w:rPr>
              <w:t>78.85</w:t>
            </w:r>
          </w:p>
        </w:tc>
      </w:tr>
      <w:tr w:rsidR="00EB3D8D" w:rsidRPr="0011654B" w:rsidTr="003D2AC4">
        <w:trPr>
          <w:trHeight w:val="340"/>
          <w:jc w:val="center"/>
        </w:trPr>
        <w:tc>
          <w:tcPr>
            <w:tcW w:w="6127" w:type="dxa"/>
            <w:vAlign w:val="center"/>
          </w:tcPr>
          <w:p w:rsidR="00EB3D8D" w:rsidRPr="0011654B" w:rsidRDefault="00EB3D8D" w:rsidP="00046940">
            <w:pPr>
              <w:autoSpaceDE w:val="0"/>
              <w:autoSpaceDN w:val="0"/>
              <w:adjustRightInd w:val="0"/>
              <w:rPr>
                <w:rFonts w:ascii="Cambria" w:hAnsi="Cambria" w:cs="Arial"/>
                <w:color w:val="000000"/>
                <w:lang w:val="en-GB"/>
              </w:rPr>
            </w:pPr>
            <w:r w:rsidRPr="0011654B">
              <w:rPr>
                <w:rFonts w:ascii="Cambria" w:hAnsi="Cambria" w:cs="Arial"/>
                <w:color w:val="000000"/>
                <w:lang w:val="en-GB"/>
              </w:rPr>
              <w:t>TOTAL REVENUE GAP</w:t>
            </w:r>
          </w:p>
        </w:tc>
        <w:tc>
          <w:tcPr>
            <w:tcW w:w="2799" w:type="dxa"/>
            <w:vAlign w:val="center"/>
          </w:tcPr>
          <w:p w:rsidR="00EB3D8D" w:rsidRPr="00FC0224" w:rsidRDefault="00F222DE" w:rsidP="00046940">
            <w:pPr>
              <w:autoSpaceDE w:val="0"/>
              <w:autoSpaceDN w:val="0"/>
              <w:adjustRightInd w:val="0"/>
              <w:jc w:val="center"/>
              <w:rPr>
                <w:rFonts w:ascii="Cambria" w:hAnsi="Cambria" w:cs="Arial"/>
                <w:b/>
                <w:color w:val="000000"/>
                <w:lang w:val="en-GB"/>
              </w:rPr>
            </w:pPr>
            <w:r w:rsidRPr="00FC0224">
              <w:rPr>
                <w:rFonts w:ascii="Cambria" w:hAnsi="Cambria" w:cs="Arial"/>
                <w:b/>
                <w:color w:val="000000"/>
                <w:lang w:val="en-GB"/>
              </w:rPr>
              <w:t>2</w:t>
            </w:r>
            <w:r w:rsidR="0049168A" w:rsidRPr="00FC0224">
              <w:rPr>
                <w:rFonts w:ascii="Cambria" w:hAnsi="Cambria" w:cs="Arial"/>
                <w:b/>
                <w:color w:val="000000"/>
                <w:lang w:val="en-GB"/>
              </w:rPr>
              <w:t>37.27</w:t>
            </w:r>
          </w:p>
        </w:tc>
      </w:tr>
    </w:tbl>
    <w:p w:rsidR="00644441" w:rsidRDefault="0049168A" w:rsidP="00037AF8">
      <w:pPr>
        <w:pStyle w:val="BodyText2"/>
        <w:spacing w:line="360" w:lineRule="auto"/>
        <w:jc w:val="both"/>
        <w:rPr>
          <w:rFonts w:ascii="Cambria" w:hAnsi="Cambria" w:cs="Arial"/>
          <w:b/>
          <w:color w:val="000000"/>
          <w:sz w:val="24"/>
          <w:szCs w:val="24"/>
          <w:u w:val="single"/>
          <w:lang w:val="en-GB"/>
        </w:rPr>
      </w:pPr>
      <w:r>
        <w:rPr>
          <w:rFonts w:ascii="Cambria" w:hAnsi="Cambria" w:cs="Arial"/>
          <w:color w:val="000000"/>
          <w:sz w:val="24"/>
          <w:szCs w:val="24"/>
          <w:lang w:val="en-GB"/>
        </w:rPr>
        <w:t>The revenue gap for the year 2020-21</w:t>
      </w:r>
      <w:r w:rsidR="00644441" w:rsidRPr="0011654B">
        <w:rPr>
          <w:rFonts w:ascii="Cambria" w:hAnsi="Cambria" w:cs="Arial"/>
          <w:color w:val="000000"/>
          <w:sz w:val="24"/>
          <w:szCs w:val="24"/>
          <w:lang w:val="en-GB"/>
        </w:rPr>
        <w:t>, considering the BSP rate at FY 201</w:t>
      </w:r>
      <w:r>
        <w:rPr>
          <w:rFonts w:ascii="Cambria" w:hAnsi="Cambria" w:cs="Arial"/>
          <w:color w:val="000000"/>
          <w:sz w:val="24"/>
          <w:szCs w:val="24"/>
          <w:lang w:val="en-GB"/>
        </w:rPr>
        <w:t>9-20</w:t>
      </w:r>
      <w:r w:rsidR="00644441" w:rsidRPr="0011654B">
        <w:rPr>
          <w:rFonts w:ascii="Cambria" w:hAnsi="Cambria" w:cs="Arial"/>
          <w:color w:val="000000"/>
          <w:sz w:val="24"/>
          <w:szCs w:val="24"/>
          <w:lang w:val="en-GB"/>
        </w:rPr>
        <w:t xml:space="preserve"> is arrived at </w:t>
      </w:r>
      <w:r w:rsidR="00644441" w:rsidRPr="00FC0224">
        <w:rPr>
          <w:rFonts w:ascii="Cambria" w:hAnsi="Cambria" w:cs="Arial"/>
          <w:color w:val="000000"/>
          <w:sz w:val="24"/>
          <w:szCs w:val="24"/>
          <w:lang w:val="en-GB"/>
        </w:rPr>
        <w:t>Rs.</w:t>
      </w:r>
      <w:r w:rsidR="00F222DE" w:rsidRPr="00FC0224">
        <w:rPr>
          <w:rFonts w:ascii="Cambria" w:hAnsi="Cambria" w:cs="Arial"/>
          <w:color w:val="000000"/>
          <w:sz w:val="24"/>
          <w:szCs w:val="24"/>
          <w:lang w:val="en-GB"/>
        </w:rPr>
        <w:t xml:space="preserve"> 2</w:t>
      </w:r>
      <w:r w:rsidRPr="00FC0224">
        <w:rPr>
          <w:rFonts w:ascii="Cambria" w:hAnsi="Cambria" w:cs="Arial"/>
          <w:color w:val="000000"/>
          <w:sz w:val="24"/>
          <w:szCs w:val="24"/>
          <w:lang w:val="en-GB"/>
        </w:rPr>
        <w:t>37.27</w:t>
      </w:r>
      <w:r w:rsidR="00644441" w:rsidRPr="00FC0224">
        <w:rPr>
          <w:rFonts w:ascii="Cambria" w:hAnsi="Cambria" w:cs="Arial"/>
          <w:color w:val="000000"/>
          <w:sz w:val="24"/>
          <w:szCs w:val="24"/>
          <w:lang w:val="en-GB"/>
        </w:rPr>
        <w:t xml:space="preserve"> crores</w:t>
      </w:r>
      <w:r w:rsidR="00644441" w:rsidRPr="00FC0224">
        <w:rPr>
          <w:rFonts w:ascii="Cambria" w:hAnsi="Cambria" w:cs="Arial"/>
          <w:color w:val="000000"/>
          <w:lang w:val="en-GB"/>
        </w:rPr>
        <w:t>.</w:t>
      </w:r>
    </w:p>
    <w:p w:rsidR="00037AF8" w:rsidRDefault="00282E0E" w:rsidP="00037AF8">
      <w:pPr>
        <w:pStyle w:val="BodyText2"/>
        <w:spacing w:line="360" w:lineRule="auto"/>
        <w:jc w:val="both"/>
        <w:rPr>
          <w:rFonts w:ascii="Cambria" w:hAnsi="Cambria" w:cs="Arial"/>
          <w:b/>
          <w:color w:val="000000"/>
          <w:sz w:val="24"/>
          <w:szCs w:val="24"/>
          <w:u w:val="single"/>
          <w:lang w:val="en-GB"/>
        </w:rPr>
      </w:pPr>
      <w:r>
        <w:rPr>
          <w:rFonts w:ascii="Cambria" w:hAnsi="Cambria" w:cs="Arial"/>
          <w:b/>
          <w:color w:val="000000"/>
          <w:sz w:val="24"/>
          <w:szCs w:val="24"/>
          <w:u w:val="single"/>
          <w:lang w:val="en-GB"/>
        </w:rPr>
        <w:t xml:space="preserve">Revenue GAP </w:t>
      </w:r>
      <w:r w:rsidR="009A4719" w:rsidRPr="009A4719">
        <w:rPr>
          <w:rFonts w:ascii="Cambria" w:hAnsi="Cambria" w:cs="Arial"/>
          <w:b/>
          <w:color w:val="000000"/>
          <w:sz w:val="24"/>
          <w:szCs w:val="24"/>
          <w:u w:val="single"/>
          <w:lang w:val="en-GB"/>
        </w:rPr>
        <w:t xml:space="preserve">if </w:t>
      </w:r>
      <w:r>
        <w:rPr>
          <w:rFonts w:ascii="Cambria" w:hAnsi="Cambria" w:cs="Arial"/>
          <w:b/>
          <w:color w:val="000000"/>
          <w:sz w:val="24"/>
          <w:szCs w:val="24"/>
          <w:u w:val="single"/>
          <w:lang w:val="en-GB"/>
        </w:rPr>
        <w:t xml:space="preserve">Railway would avail </w:t>
      </w:r>
      <w:r w:rsidR="009A4719" w:rsidRPr="009A4719">
        <w:rPr>
          <w:rFonts w:ascii="Cambria" w:hAnsi="Cambria" w:cs="Arial"/>
          <w:b/>
          <w:color w:val="000000"/>
          <w:sz w:val="24"/>
          <w:szCs w:val="24"/>
          <w:u w:val="single"/>
          <w:lang w:val="en-GB"/>
        </w:rPr>
        <w:t xml:space="preserve">power </w:t>
      </w:r>
      <w:r>
        <w:rPr>
          <w:rFonts w:ascii="Cambria" w:hAnsi="Cambria" w:cs="Arial"/>
          <w:b/>
          <w:color w:val="000000"/>
          <w:sz w:val="24"/>
          <w:szCs w:val="24"/>
          <w:u w:val="single"/>
          <w:lang w:val="en-GB"/>
        </w:rPr>
        <w:t>supply from other source</w:t>
      </w:r>
    </w:p>
    <w:p w:rsidR="002B4E80" w:rsidRDefault="009A4719" w:rsidP="00037AF8">
      <w:pPr>
        <w:pStyle w:val="BodyText2"/>
        <w:spacing w:line="360" w:lineRule="auto"/>
        <w:jc w:val="both"/>
        <w:rPr>
          <w:rFonts w:ascii="Cambria" w:hAnsi="Cambria" w:cs="Arial"/>
          <w:color w:val="000000"/>
          <w:sz w:val="24"/>
          <w:szCs w:val="24"/>
          <w:lang w:val="en-GB"/>
        </w:rPr>
      </w:pPr>
      <w:r>
        <w:rPr>
          <w:rFonts w:ascii="Cambria" w:hAnsi="Cambria" w:cs="Arial"/>
          <w:color w:val="000000"/>
          <w:sz w:val="24"/>
          <w:szCs w:val="24"/>
          <w:lang w:val="en-GB"/>
        </w:rPr>
        <w:t>Presently the Utilty is having</w:t>
      </w:r>
      <w:r w:rsidR="001D705A">
        <w:rPr>
          <w:rFonts w:ascii="Cambria" w:hAnsi="Cambria" w:cs="Arial"/>
          <w:color w:val="000000"/>
          <w:sz w:val="24"/>
          <w:szCs w:val="24"/>
          <w:lang w:val="en-GB"/>
        </w:rPr>
        <w:t xml:space="preserve"> </w:t>
      </w:r>
      <w:r w:rsidR="002B4E80">
        <w:rPr>
          <w:rFonts w:ascii="Cambria" w:hAnsi="Cambria" w:cs="Arial"/>
          <w:color w:val="000000"/>
          <w:sz w:val="24"/>
          <w:szCs w:val="24"/>
          <w:lang w:val="en-GB"/>
        </w:rPr>
        <w:t>8</w:t>
      </w:r>
      <w:r w:rsidR="00D970CB">
        <w:rPr>
          <w:rFonts w:ascii="Cambria" w:hAnsi="Cambria" w:cs="Arial"/>
          <w:color w:val="000000"/>
          <w:sz w:val="24"/>
          <w:szCs w:val="24"/>
          <w:lang w:val="en-GB"/>
        </w:rPr>
        <w:t xml:space="preserve"> Nos of traction load with Contract Demand of </w:t>
      </w:r>
      <w:r w:rsidR="002B4E80">
        <w:rPr>
          <w:rFonts w:ascii="Cambria" w:hAnsi="Cambria" w:cs="Arial"/>
          <w:color w:val="000000"/>
          <w:sz w:val="24"/>
          <w:szCs w:val="24"/>
          <w:lang w:val="en-GB"/>
        </w:rPr>
        <w:t>142000</w:t>
      </w:r>
      <w:r w:rsidR="00D970CB">
        <w:rPr>
          <w:rFonts w:ascii="Cambria" w:hAnsi="Cambria" w:cs="Arial"/>
          <w:color w:val="000000"/>
          <w:sz w:val="24"/>
          <w:szCs w:val="24"/>
          <w:lang w:val="en-GB"/>
        </w:rPr>
        <w:t xml:space="preserve"> KVA. Considering 1</w:t>
      </w:r>
      <w:r w:rsidR="00D970CB" w:rsidRPr="00D970CB">
        <w:rPr>
          <w:rFonts w:ascii="Cambria" w:hAnsi="Cambria" w:cs="Arial"/>
          <w:color w:val="000000"/>
          <w:sz w:val="24"/>
          <w:szCs w:val="24"/>
          <w:vertAlign w:val="superscript"/>
          <w:lang w:val="en-GB"/>
        </w:rPr>
        <w:t>st</w:t>
      </w:r>
      <w:r w:rsidR="00D970CB">
        <w:rPr>
          <w:rFonts w:ascii="Cambria" w:hAnsi="Cambria" w:cs="Arial"/>
          <w:color w:val="000000"/>
          <w:sz w:val="24"/>
          <w:szCs w:val="24"/>
          <w:lang w:val="en-GB"/>
        </w:rPr>
        <w:t xml:space="preserve"> Six months consumption of </w:t>
      </w:r>
      <w:r w:rsidR="00524644">
        <w:rPr>
          <w:rFonts w:ascii="Cambria" w:hAnsi="Cambria" w:cs="Arial"/>
          <w:color w:val="000000"/>
          <w:sz w:val="24"/>
          <w:szCs w:val="24"/>
          <w:lang w:val="en-GB"/>
        </w:rPr>
        <w:t>204.843</w:t>
      </w:r>
      <w:r w:rsidR="00D970CB">
        <w:rPr>
          <w:rFonts w:ascii="Cambria" w:hAnsi="Cambria" w:cs="Arial"/>
          <w:color w:val="000000"/>
          <w:sz w:val="24"/>
          <w:szCs w:val="24"/>
          <w:lang w:val="en-GB"/>
        </w:rPr>
        <w:t xml:space="preserve"> MU the current year</w:t>
      </w:r>
      <w:r w:rsidR="00282E0E">
        <w:rPr>
          <w:rFonts w:ascii="Cambria" w:hAnsi="Cambria" w:cs="Arial"/>
          <w:color w:val="000000"/>
          <w:sz w:val="24"/>
          <w:szCs w:val="24"/>
          <w:lang w:val="en-GB"/>
        </w:rPr>
        <w:t>’s</w:t>
      </w:r>
      <w:r w:rsidR="00D970CB">
        <w:rPr>
          <w:rFonts w:ascii="Cambria" w:hAnsi="Cambria" w:cs="Arial"/>
          <w:color w:val="000000"/>
          <w:sz w:val="24"/>
          <w:szCs w:val="24"/>
          <w:lang w:val="en-GB"/>
        </w:rPr>
        <w:t xml:space="preserve"> consumption has been estimated as </w:t>
      </w:r>
      <w:r w:rsidR="00524644">
        <w:rPr>
          <w:rFonts w:ascii="Cambria" w:hAnsi="Cambria" w:cs="Arial"/>
          <w:color w:val="000000"/>
          <w:sz w:val="24"/>
          <w:szCs w:val="24"/>
          <w:lang w:val="en-GB"/>
        </w:rPr>
        <w:t>418.047</w:t>
      </w:r>
      <w:r w:rsidR="00D970CB">
        <w:rPr>
          <w:rFonts w:ascii="Cambria" w:hAnsi="Cambria" w:cs="Arial"/>
          <w:color w:val="000000"/>
          <w:sz w:val="24"/>
          <w:szCs w:val="24"/>
          <w:lang w:val="en-GB"/>
        </w:rPr>
        <w:t xml:space="preserve"> MU. Similarly the Utility has projected </w:t>
      </w:r>
      <w:r w:rsidR="00524644">
        <w:rPr>
          <w:rFonts w:ascii="Cambria" w:hAnsi="Cambria" w:cs="Arial"/>
          <w:color w:val="000000"/>
          <w:sz w:val="24"/>
          <w:szCs w:val="24"/>
          <w:lang w:val="en-GB"/>
        </w:rPr>
        <w:t>413.323</w:t>
      </w:r>
      <w:r w:rsidR="00D970CB">
        <w:rPr>
          <w:rFonts w:ascii="Cambria" w:hAnsi="Cambria" w:cs="Arial"/>
          <w:color w:val="000000"/>
          <w:sz w:val="24"/>
          <w:szCs w:val="24"/>
          <w:lang w:val="en-GB"/>
        </w:rPr>
        <w:t xml:space="preserve"> MU towards traction con</w:t>
      </w:r>
      <w:r w:rsidR="007041ED">
        <w:rPr>
          <w:rFonts w:ascii="Cambria" w:hAnsi="Cambria" w:cs="Arial"/>
          <w:color w:val="000000"/>
          <w:sz w:val="24"/>
          <w:szCs w:val="24"/>
          <w:lang w:val="en-GB"/>
        </w:rPr>
        <w:t xml:space="preserve">sumption </w:t>
      </w:r>
      <w:r w:rsidR="00D970CB">
        <w:rPr>
          <w:rFonts w:ascii="Cambria" w:hAnsi="Cambria" w:cs="Arial"/>
          <w:color w:val="000000"/>
          <w:sz w:val="24"/>
          <w:szCs w:val="24"/>
          <w:lang w:val="en-GB"/>
        </w:rPr>
        <w:t>for the ensuing year</w:t>
      </w:r>
      <w:r w:rsidR="002B4E80">
        <w:rPr>
          <w:rFonts w:ascii="Cambria" w:hAnsi="Cambria" w:cs="Arial"/>
          <w:color w:val="000000"/>
          <w:sz w:val="24"/>
          <w:szCs w:val="24"/>
          <w:lang w:val="en-GB"/>
        </w:rPr>
        <w:t>.</w:t>
      </w:r>
    </w:p>
    <w:p w:rsidR="00D970CB" w:rsidRDefault="002B4E80" w:rsidP="00037AF8">
      <w:pPr>
        <w:pStyle w:val="BodyText2"/>
        <w:spacing w:line="360" w:lineRule="auto"/>
        <w:jc w:val="both"/>
        <w:rPr>
          <w:rFonts w:ascii="Cambria" w:hAnsi="Cambria" w:cs="Arial"/>
          <w:color w:val="000000"/>
          <w:sz w:val="24"/>
          <w:szCs w:val="24"/>
          <w:lang w:val="en-GB"/>
        </w:rPr>
      </w:pPr>
      <w:r>
        <w:rPr>
          <w:rFonts w:ascii="Cambria" w:hAnsi="Cambria" w:cs="Arial"/>
          <w:color w:val="000000"/>
          <w:sz w:val="24"/>
          <w:szCs w:val="24"/>
          <w:lang w:val="en-GB"/>
        </w:rPr>
        <w:t xml:space="preserve"> </w:t>
      </w:r>
      <w:r w:rsidR="00D970CB">
        <w:rPr>
          <w:rFonts w:ascii="Cambria" w:hAnsi="Cambria" w:cs="Arial"/>
          <w:color w:val="000000"/>
          <w:sz w:val="24"/>
          <w:szCs w:val="24"/>
          <w:lang w:val="en-GB"/>
        </w:rPr>
        <w:t xml:space="preserve">If railway would be completely availing power supply from other source </w:t>
      </w:r>
      <w:r w:rsidR="00644441">
        <w:rPr>
          <w:rFonts w:ascii="Cambria" w:hAnsi="Cambria" w:cs="Arial"/>
          <w:color w:val="000000"/>
          <w:sz w:val="24"/>
          <w:szCs w:val="24"/>
          <w:lang w:val="en-GB"/>
        </w:rPr>
        <w:t xml:space="preserve">other </w:t>
      </w:r>
      <w:r w:rsidR="00282E0E">
        <w:rPr>
          <w:rFonts w:ascii="Cambria" w:hAnsi="Cambria" w:cs="Arial"/>
          <w:color w:val="000000"/>
          <w:sz w:val="24"/>
          <w:szCs w:val="24"/>
          <w:lang w:val="en-GB"/>
        </w:rPr>
        <w:t>tha</w:t>
      </w:r>
      <w:r w:rsidR="00D970CB">
        <w:rPr>
          <w:rFonts w:ascii="Cambria" w:hAnsi="Cambria" w:cs="Arial"/>
          <w:color w:val="000000"/>
          <w:sz w:val="24"/>
          <w:szCs w:val="24"/>
          <w:lang w:val="en-GB"/>
        </w:rPr>
        <w:t xml:space="preserve">n the </w:t>
      </w:r>
      <w:r w:rsidR="00644441">
        <w:rPr>
          <w:rFonts w:ascii="Cambria" w:hAnsi="Cambria" w:cs="Arial"/>
          <w:color w:val="000000"/>
          <w:sz w:val="24"/>
          <w:szCs w:val="24"/>
          <w:lang w:val="en-GB"/>
        </w:rPr>
        <w:t xml:space="preserve">Distribution Company then the </w:t>
      </w:r>
      <w:r w:rsidR="00D970CB">
        <w:rPr>
          <w:rFonts w:ascii="Cambria" w:hAnsi="Cambria" w:cs="Arial"/>
          <w:color w:val="000000"/>
          <w:sz w:val="24"/>
          <w:szCs w:val="24"/>
          <w:lang w:val="en-GB"/>
        </w:rPr>
        <w:t xml:space="preserve">revenue gap would </w:t>
      </w:r>
      <w:r w:rsidR="00D970CB" w:rsidRPr="00FC0224">
        <w:rPr>
          <w:rFonts w:ascii="Cambria" w:hAnsi="Cambria" w:cs="Arial"/>
          <w:color w:val="000000"/>
          <w:sz w:val="24"/>
          <w:szCs w:val="24"/>
          <w:lang w:val="en-GB"/>
        </w:rPr>
        <w:t xml:space="preserve">be Rs </w:t>
      </w:r>
      <w:r w:rsidR="00FC0224" w:rsidRPr="00FC0224">
        <w:rPr>
          <w:rFonts w:ascii="Cambria" w:hAnsi="Cambria" w:cs="Arial"/>
          <w:color w:val="000000"/>
          <w:sz w:val="24"/>
          <w:szCs w:val="24"/>
          <w:lang w:val="en-GB"/>
        </w:rPr>
        <w:t>354.38</w:t>
      </w:r>
      <w:r w:rsidR="00960A17" w:rsidRPr="00FC0224">
        <w:rPr>
          <w:rFonts w:ascii="Cambria" w:hAnsi="Cambria" w:cs="Arial"/>
          <w:color w:val="000000"/>
          <w:sz w:val="24"/>
          <w:szCs w:val="24"/>
          <w:lang w:val="en-GB"/>
        </w:rPr>
        <w:t xml:space="preserve"> crore. Hence the GAP would increase by another Rs.</w:t>
      </w:r>
      <w:r w:rsidR="00097476" w:rsidRPr="00FC0224">
        <w:rPr>
          <w:rFonts w:ascii="Cambria" w:hAnsi="Cambria" w:cs="Arial"/>
          <w:color w:val="000000"/>
          <w:sz w:val="24"/>
          <w:szCs w:val="24"/>
          <w:lang w:val="en-GB"/>
        </w:rPr>
        <w:t xml:space="preserve"> </w:t>
      </w:r>
      <w:r w:rsidR="00524644" w:rsidRPr="00FC0224">
        <w:rPr>
          <w:rFonts w:ascii="Cambria" w:hAnsi="Cambria" w:cs="Arial"/>
          <w:color w:val="000000"/>
          <w:sz w:val="24"/>
          <w:szCs w:val="24"/>
          <w:lang w:val="en-GB"/>
        </w:rPr>
        <w:t>117.11</w:t>
      </w:r>
      <w:r w:rsidR="00960A17" w:rsidRPr="00FC0224">
        <w:rPr>
          <w:rFonts w:ascii="Cambria" w:hAnsi="Cambria" w:cs="Arial"/>
          <w:color w:val="000000"/>
          <w:sz w:val="24"/>
          <w:szCs w:val="24"/>
          <w:lang w:val="en-GB"/>
        </w:rPr>
        <w:t xml:space="preserve"> crs.</w:t>
      </w:r>
    </w:p>
    <w:p w:rsidR="00E93E3C" w:rsidRPr="00126345" w:rsidRDefault="00E93E3C" w:rsidP="00037AF8">
      <w:pPr>
        <w:pStyle w:val="BodyText2"/>
        <w:spacing w:line="360" w:lineRule="auto"/>
        <w:jc w:val="both"/>
        <w:rPr>
          <w:rFonts w:ascii="Cambria" w:hAnsi="Cambria" w:cs="Arial"/>
          <w:color w:val="000000"/>
          <w:sz w:val="24"/>
          <w:szCs w:val="24"/>
          <w:lang w:val="en-GB"/>
        </w:rPr>
      </w:pPr>
    </w:p>
    <w:p w:rsidR="00BE0EC9" w:rsidRPr="00126345" w:rsidRDefault="00BE0EC9" w:rsidP="00BE0EC9">
      <w:pPr>
        <w:pStyle w:val="Caption"/>
        <w:keepNext/>
        <w:spacing w:line="360" w:lineRule="auto"/>
        <w:rPr>
          <w:rFonts w:ascii="Cambria" w:hAnsi="Cambria" w:cs="Arial"/>
          <w:b/>
          <w:color w:val="000000"/>
          <w:sz w:val="24"/>
          <w:szCs w:val="24"/>
        </w:rPr>
      </w:pPr>
      <w:r w:rsidRPr="00126345">
        <w:rPr>
          <w:rFonts w:ascii="Cambria" w:hAnsi="Cambria" w:cs="Arial"/>
          <w:b/>
          <w:color w:val="000000"/>
          <w:sz w:val="24"/>
          <w:szCs w:val="24"/>
        </w:rPr>
        <w:t>Table 1B : Revenue Gap without Railway</w:t>
      </w:r>
    </w:p>
    <w:tbl>
      <w:tblPr>
        <w:tblW w:w="8926"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6127"/>
        <w:gridCol w:w="2799"/>
      </w:tblGrid>
      <w:tr w:rsidR="00BE0EC9" w:rsidRPr="00126345" w:rsidTr="00B00119">
        <w:trPr>
          <w:trHeight w:val="340"/>
          <w:jc w:val="center"/>
        </w:trPr>
        <w:tc>
          <w:tcPr>
            <w:tcW w:w="6127" w:type="dxa"/>
            <w:shd w:val="solid" w:color="000080" w:fill="FFFFFF"/>
          </w:tcPr>
          <w:p w:rsidR="00BE0EC9" w:rsidRPr="00126345" w:rsidRDefault="00BE0EC9" w:rsidP="00B00119">
            <w:pPr>
              <w:rPr>
                <w:rFonts w:ascii="Cambria" w:hAnsi="Cambria" w:cs="Arial"/>
                <w:b/>
                <w:bCs/>
                <w:color w:val="000000"/>
              </w:rPr>
            </w:pPr>
          </w:p>
        </w:tc>
        <w:tc>
          <w:tcPr>
            <w:tcW w:w="2799" w:type="dxa"/>
            <w:shd w:val="solid" w:color="000080" w:fill="FFFFFF"/>
          </w:tcPr>
          <w:p w:rsidR="00BE0EC9" w:rsidRPr="00126345" w:rsidRDefault="00BE0EC9" w:rsidP="00B00119">
            <w:pPr>
              <w:jc w:val="center"/>
              <w:rPr>
                <w:rFonts w:ascii="Cambria" w:hAnsi="Cambria" w:cs="Arial"/>
                <w:b/>
                <w:bCs/>
                <w:color w:val="000000"/>
              </w:rPr>
            </w:pPr>
            <w:r w:rsidRPr="00126345">
              <w:rPr>
                <w:rFonts w:ascii="Cambria" w:hAnsi="Cambria" w:cs="Arial"/>
                <w:b/>
                <w:color w:val="000000"/>
              </w:rPr>
              <w:t>Rs Crore</w:t>
            </w:r>
          </w:p>
        </w:tc>
      </w:tr>
      <w:tr w:rsidR="00BE0EC9" w:rsidRPr="00126345" w:rsidTr="00B00119">
        <w:trPr>
          <w:trHeight w:val="340"/>
          <w:jc w:val="center"/>
        </w:trPr>
        <w:tc>
          <w:tcPr>
            <w:tcW w:w="6127" w:type="dxa"/>
            <w:vAlign w:val="center"/>
          </w:tcPr>
          <w:p w:rsidR="00BE0EC9" w:rsidRPr="00126345" w:rsidRDefault="00BE0EC9" w:rsidP="00B00119">
            <w:pPr>
              <w:keepNext/>
              <w:keepLines/>
              <w:autoSpaceDE w:val="0"/>
              <w:autoSpaceDN w:val="0"/>
              <w:adjustRightInd w:val="0"/>
              <w:outlineLvl w:val="0"/>
              <w:rPr>
                <w:rFonts w:ascii="Cambria" w:hAnsi="Cambria" w:cs="Arial"/>
                <w:color w:val="000000"/>
                <w:lang w:val="en-GB"/>
              </w:rPr>
            </w:pPr>
          </w:p>
          <w:p w:rsidR="00BE0EC9" w:rsidRPr="00126345" w:rsidRDefault="00BE0EC9" w:rsidP="00B00119">
            <w:pPr>
              <w:autoSpaceDE w:val="0"/>
              <w:autoSpaceDN w:val="0"/>
              <w:adjustRightInd w:val="0"/>
              <w:rPr>
                <w:rFonts w:ascii="Cambria" w:hAnsi="Cambria" w:cs="Arial"/>
                <w:color w:val="000000"/>
                <w:lang w:val="en-GB"/>
              </w:rPr>
            </w:pPr>
            <w:r w:rsidRPr="00126345">
              <w:rPr>
                <w:rFonts w:ascii="Cambria" w:hAnsi="Cambria" w:cs="Arial"/>
                <w:color w:val="000000"/>
                <w:lang w:val="en-GB"/>
              </w:rPr>
              <w:t xml:space="preserve">Expenditure including Special Appropriation </w:t>
            </w:r>
          </w:p>
          <w:p w:rsidR="00BE0EC9" w:rsidRPr="00126345" w:rsidRDefault="00BE0EC9" w:rsidP="00B00119">
            <w:pPr>
              <w:autoSpaceDE w:val="0"/>
              <w:autoSpaceDN w:val="0"/>
              <w:adjustRightInd w:val="0"/>
              <w:rPr>
                <w:rFonts w:ascii="Cambria" w:hAnsi="Cambria" w:cs="Arial"/>
                <w:color w:val="000000"/>
                <w:lang w:val="en-GB"/>
              </w:rPr>
            </w:pPr>
          </w:p>
        </w:tc>
        <w:tc>
          <w:tcPr>
            <w:tcW w:w="2799" w:type="dxa"/>
            <w:vAlign w:val="center"/>
          </w:tcPr>
          <w:p w:rsidR="00BE0EC9" w:rsidRPr="00FC0224" w:rsidRDefault="00D90B38" w:rsidP="00E93E3C">
            <w:pPr>
              <w:autoSpaceDE w:val="0"/>
              <w:autoSpaceDN w:val="0"/>
              <w:adjustRightInd w:val="0"/>
              <w:jc w:val="center"/>
              <w:rPr>
                <w:rFonts w:ascii="Cambria" w:hAnsi="Cambria" w:cs="Arial"/>
                <w:color w:val="000000"/>
                <w:lang w:val="en-GB"/>
              </w:rPr>
            </w:pPr>
            <w:r w:rsidRPr="00FC0224">
              <w:rPr>
                <w:rFonts w:ascii="Cambria" w:hAnsi="Cambria" w:cs="Arial"/>
                <w:color w:val="000000"/>
                <w:lang w:val="en-GB"/>
              </w:rPr>
              <w:t>2795.25</w:t>
            </w:r>
          </w:p>
        </w:tc>
      </w:tr>
      <w:tr w:rsidR="00BE0EC9" w:rsidRPr="00126345" w:rsidTr="00B00119">
        <w:trPr>
          <w:trHeight w:val="340"/>
          <w:jc w:val="center"/>
        </w:trPr>
        <w:tc>
          <w:tcPr>
            <w:tcW w:w="6127" w:type="dxa"/>
            <w:vAlign w:val="center"/>
          </w:tcPr>
          <w:p w:rsidR="00BE0EC9" w:rsidRPr="00126345" w:rsidRDefault="00BE0EC9" w:rsidP="00B00119">
            <w:pPr>
              <w:autoSpaceDE w:val="0"/>
              <w:autoSpaceDN w:val="0"/>
              <w:adjustRightInd w:val="0"/>
              <w:rPr>
                <w:rFonts w:ascii="Cambria" w:hAnsi="Cambria" w:cs="Arial"/>
                <w:color w:val="000000"/>
                <w:lang w:val="en-GB"/>
              </w:rPr>
            </w:pPr>
            <w:r w:rsidRPr="00126345">
              <w:rPr>
                <w:rFonts w:ascii="Cambria" w:hAnsi="Cambria" w:cs="Arial"/>
                <w:color w:val="000000"/>
                <w:lang w:val="en-GB"/>
              </w:rPr>
              <w:t xml:space="preserve">Reasonable return </w:t>
            </w:r>
          </w:p>
        </w:tc>
        <w:tc>
          <w:tcPr>
            <w:tcW w:w="2799" w:type="dxa"/>
            <w:vAlign w:val="center"/>
          </w:tcPr>
          <w:p w:rsidR="00BE0EC9" w:rsidRPr="00FC0224" w:rsidRDefault="002B4E80" w:rsidP="00B00119">
            <w:pPr>
              <w:autoSpaceDE w:val="0"/>
              <w:autoSpaceDN w:val="0"/>
              <w:adjustRightInd w:val="0"/>
              <w:jc w:val="center"/>
              <w:rPr>
                <w:rFonts w:ascii="Cambria" w:hAnsi="Cambria" w:cs="Arial"/>
                <w:color w:val="000000"/>
                <w:lang w:val="en-GB"/>
              </w:rPr>
            </w:pPr>
            <w:r w:rsidRPr="00FC0224">
              <w:rPr>
                <w:rFonts w:ascii="Cambria" w:hAnsi="Cambria" w:cs="Arial"/>
                <w:color w:val="000000"/>
                <w:lang w:val="en-GB"/>
              </w:rPr>
              <w:t>10.55</w:t>
            </w:r>
          </w:p>
        </w:tc>
      </w:tr>
      <w:tr w:rsidR="00BE0EC9" w:rsidRPr="00126345" w:rsidTr="00B00119">
        <w:trPr>
          <w:trHeight w:val="340"/>
          <w:jc w:val="center"/>
        </w:trPr>
        <w:tc>
          <w:tcPr>
            <w:tcW w:w="6127" w:type="dxa"/>
            <w:vAlign w:val="center"/>
          </w:tcPr>
          <w:p w:rsidR="00BE0EC9" w:rsidRPr="00126345" w:rsidRDefault="00BE0EC9" w:rsidP="00B00119">
            <w:pPr>
              <w:autoSpaceDE w:val="0"/>
              <w:autoSpaceDN w:val="0"/>
              <w:adjustRightInd w:val="0"/>
              <w:rPr>
                <w:rFonts w:ascii="Cambria" w:hAnsi="Cambria" w:cs="Arial"/>
                <w:color w:val="000000"/>
                <w:lang w:val="en-GB"/>
              </w:rPr>
            </w:pPr>
            <w:r w:rsidRPr="00126345">
              <w:rPr>
                <w:rFonts w:ascii="Cambria" w:hAnsi="Cambria" w:cs="Arial"/>
                <w:color w:val="000000"/>
                <w:lang w:val="en-GB"/>
              </w:rPr>
              <w:t>Sub Total</w:t>
            </w:r>
          </w:p>
        </w:tc>
        <w:tc>
          <w:tcPr>
            <w:tcW w:w="2799" w:type="dxa"/>
            <w:vAlign w:val="center"/>
          </w:tcPr>
          <w:p w:rsidR="00BE0EC9" w:rsidRPr="00FC0224" w:rsidRDefault="003F142B" w:rsidP="00E93E3C">
            <w:pPr>
              <w:autoSpaceDE w:val="0"/>
              <w:autoSpaceDN w:val="0"/>
              <w:adjustRightInd w:val="0"/>
              <w:jc w:val="center"/>
              <w:rPr>
                <w:rFonts w:ascii="Cambria" w:hAnsi="Cambria" w:cs="Arial"/>
                <w:b/>
                <w:color w:val="000000"/>
                <w:lang w:val="en-GB"/>
              </w:rPr>
            </w:pPr>
            <w:r w:rsidRPr="00FC0224">
              <w:rPr>
                <w:rFonts w:ascii="Cambria" w:hAnsi="Cambria" w:cs="Arial"/>
                <w:b/>
                <w:color w:val="000000"/>
                <w:lang w:val="en-GB"/>
              </w:rPr>
              <w:t>2</w:t>
            </w:r>
            <w:r w:rsidR="00D90B38" w:rsidRPr="00FC0224">
              <w:rPr>
                <w:rFonts w:ascii="Cambria" w:hAnsi="Cambria" w:cs="Arial"/>
                <w:b/>
                <w:color w:val="000000"/>
                <w:lang w:val="en-GB"/>
              </w:rPr>
              <w:t>805.80</w:t>
            </w:r>
          </w:p>
        </w:tc>
      </w:tr>
      <w:tr w:rsidR="00BE0EC9" w:rsidRPr="00126345" w:rsidTr="00B00119">
        <w:trPr>
          <w:trHeight w:val="340"/>
          <w:jc w:val="center"/>
        </w:trPr>
        <w:tc>
          <w:tcPr>
            <w:tcW w:w="6127" w:type="dxa"/>
            <w:vAlign w:val="center"/>
          </w:tcPr>
          <w:p w:rsidR="00BE0EC9" w:rsidRPr="00126345" w:rsidRDefault="00BE0EC9" w:rsidP="00B00119">
            <w:pPr>
              <w:autoSpaceDE w:val="0"/>
              <w:autoSpaceDN w:val="0"/>
              <w:adjustRightInd w:val="0"/>
              <w:rPr>
                <w:rFonts w:ascii="Cambria" w:hAnsi="Cambria" w:cs="Arial"/>
                <w:color w:val="000000"/>
                <w:lang w:val="en-GB"/>
              </w:rPr>
            </w:pPr>
            <w:r w:rsidRPr="00126345">
              <w:rPr>
                <w:rFonts w:ascii="Cambria" w:hAnsi="Cambria" w:cs="Arial"/>
                <w:color w:val="000000"/>
                <w:lang w:val="en-GB"/>
              </w:rPr>
              <w:t xml:space="preserve">Revenue from sale of power at existing tariffs </w:t>
            </w:r>
          </w:p>
        </w:tc>
        <w:tc>
          <w:tcPr>
            <w:tcW w:w="2799" w:type="dxa"/>
            <w:vAlign w:val="center"/>
          </w:tcPr>
          <w:p w:rsidR="00BE0EC9" w:rsidRPr="00FC0224" w:rsidRDefault="00097476" w:rsidP="00126345">
            <w:pPr>
              <w:autoSpaceDE w:val="0"/>
              <w:autoSpaceDN w:val="0"/>
              <w:adjustRightInd w:val="0"/>
              <w:jc w:val="center"/>
              <w:rPr>
                <w:rFonts w:ascii="Cambria" w:hAnsi="Cambria" w:cs="Arial"/>
                <w:color w:val="000000"/>
                <w:lang w:val="en-GB"/>
              </w:rPr>
            </w:pPr>
            <w:r w:rsidRPr="00FC0224">
              <w:rPr>
                <w:rFonts w:ascii="Cambria" w:hAnsi="Cambria" w:cs="Arial"/>
                <w:color w:val="000000"/>
                <w:lang w:val="en-GB"/>
              </w:rPr>
              <w:t>2</w:t>
            </w:r>
            <w:r w:rsidR="00D90B38" w:rsidRPr="00FC0224">
              <w:rPr>
                <w:rFonts w:ascii="Cambria" w:hAnsi="Cambria" w:cs="Arial"/>
                <w:color w:val="000000"/>
                <w:lang w:val="en-GB"/>
              </w:rPr>
              <w:t>372.5</w:t>
            </w:r>
            <w:r w:rsidR="00FC0224" w:rsidRPr="00FC0224">
              <w:rPr>
                <w:rFonts w:ascii="Cambria" w:hAnsi="Cambria" w:cs="Arial"/>
                <w:color w:val="000000"/>
                <w:lang w:val="en-GB"/>
              </w:rPr>
              <w:t>7</w:t>
            </w:r>
          </w:p>
        </w:tc>
      </w:tr>
      <w:tr w:rsidR="00BE0EC9" w:rsidRPr="00126345" w:rsidTr="00B00119">
        <w:trPr>
          <w:trHeight w:val="340"/>
          <w:jc w:val="center"/>
        </w:trPr>
        <w:tc>
          <w:tcPr>
            <w:tcW w:w="6127" w:type="dxa"/>
            <w:vAlign w:val="center"/>
          </w:tcPr>
          <w:p w:rsidR="00BE0EC9" w:rsidRPr="00126345" w:rsidRDefault="00BE0EC9" w:rsidP="00B00119">
            <w:pPr>
              <w:autoSpaceDE w:val="0"/>
              <w:autoSpaceDN w:val="0"/>
              <w:adjustRightInd w:val="0"/>
              <w:rPr>
                <w:rFonts w:ascii="Cambria" w:hAnsi="Cambria" w:cs="Arial"/>
                <w:color w:val="000000"/>
                <w:lang w:val="en-GB"/>
              </w:rPr>
            </w:pPr>
            <w:r w:rsidRPr="00126345">
              <w:rPr>
                <w:rFonts w:ascii="Cambria" w:hAnsi="Cambria" w:cs="Arial"/>
                <w:color w:val="000000"/>
                <w:lang w:val="en-GB"/>
              </w:rPr>
              <w:t>Non Tariff Income</w:t>
            </w:r>
          </w:p>
        </w:tc>
        <w:tc>
          <w:tcPr>
            <w:tcW w:w="2799" w:type="dxa"/>
            <w:vAlign w:val="center"/>
          </w:tcPr>
          <w:p w:rsidR="00BE0EC9" w:rsidRPr="00FC0224" w:rsidRDefault="00E93E3C" w:rsidP="00B00119">
            <w:pPr>
              <w:autoSpaceDE w:val="0"/>
              <w:autoSpaceDN w:val="0"/>
              <w:adjustRightInd w:val="0"/>
              <w:jc w:val="center"/>
              <w:rPr>
                <w:rFonts w:ascii="Cambria" w:hAnsi="Cambria" w:cs="Arial"/>
                <w:color w:val="000000"/>
                <w:lang w:val="en-GB"/>
              </w:rPr>
            </w:pPr>
            <w:r w:rsidRPr="00FC0224">
              <w:rPr>
                <w:rFonts w:ascii="Cambria" w:hAnsi="Cambria" w:cs="Arial"/>
                <w:color w:val="000000"/>
                <w:lang w:val="en-GB"/>
              </w:rPr>
              <w:t>7</w:t>
            </w:r>
            <w:r w:rsidR="00942B8C" w:rsidRPr="00FC0224">
              <w:rPr>
                <w:rFonts w:ascii="Cambria" w:hAnsi="Cambria" w:cs="Arial"/>
                <w:color w:val="000000"/>
                <w:lang w:val="en-GB"/>
              </w:rPr>
              <w:t>8.85</w:t>
            </w:r>
          </w:p>
        </w:tc>
      </w:tr>
      <w:tr w:rsidR="00BE0EC9" w:rsidRPr="00126345" w:rsidTr="00B00119">
        <w:trPr>
          <w:trHeight w:val="340"/>
          <w:jc w:val="center"/>
        </w:trPr>
        <w:tc>
          <w:tcPr>
            <w:tcW w:w="6127" w:type="dxa"/>
            <w:vAlign w:val="center"/>
          </w:tcPr>
          <w:p w:rsidR="00BE0EC9" w:rsidRPr="00126345" w:rsidRDefault="00BE0EC9" w:rsidP="00B00119">
            <w:pPr>
              <w:autoSpaceDE w:val="0"/>
              <w:autoSpaceDN w:val="0"/>
              <w:adjustRightInd w:val="0"/>
              <w:rPr>
                <w:rFonts w:ascii="Cambria" w:hAnsi="Cambria" w:cs="Arial"/>
                <w:color w:val="000000"/>
                <w:lang w:val="en-GB"/>
              </w:rPr>
            </w:pPr>
            <w:r w:rsidRPr="00126345">
              <w:rPr>
                <w:rFonts w:ascii="Cambria" w:hAnsi="Cambria" w:cs="Arial"/>
                <w:color w:val="000000"/>
                <w:lang w:val="en-GB"/>
              </w:rPr>
              <w:t>TOTAL REVENUE GAP</w:t>
            </w:r>
          </w:p>
        </w:tc>
        <w:tc>
          <w:tcPr>
            <w:tcW w:w="2799" w:type="dxa"/>
            <w:vAlign w:val="center"/>
          </w:tcPr>
          <w:p w:rsidR="00BE0EC9" w:rsidRPr="00FC0224" w:rsidRDefault="00E93E3C" w:rsidP="00B00119">
            <w:pPr>
              <w:autoSpaceDE w:val="0"/>
              <w:autoSpaceDN w:val="0"/>
              <w:adjustRightInd w:val="0"/>
              <w:jc w:val="center"/>
              <w:rPr>
                <w:rFonts w:ascii="Cambria" w:hAnsi="Cambria" w:cs="Arial"/>
                <w:b/>
                <w:color w:val="000000"/>
                <w:lang w:val="en-GB"/>
              </w:rPr>
            </w:pPr>
            <w:r w:rsidRPr="00FC0224">
              <w:rPr>
                <w:rFonts w:ascii="Cambria" w:hAnsi="Cambria" w:cs="Arial"/>
                <w:b/>
                <w:color w:val="000000"/>
                <w:lang w:val="en-GB"/>
              </w:rPr>
              <w:t>3</w:t>
            </w:r>
            <w:r w:rsidR="001B7315" w:rsidRPr="00FC0224">
              <w:rPr>
                <w:rFonts w:ascii="Cambria" w:hAnsi="Cambria" w:cs="Arial"/>
                <w:b/>
                <w:color w:val="000000"/>
                <w:lang w:val="en-GB"/>
              </w:rPr>
              <w:t>54.3</w:t>
            </w:r>
            <w:r w:rsidR="00FC0224" w:rsidRPr="00FC0224">
              <w:rPr>
                <w:rFonts w:ascii="Cambria" w:hAnsi="Cambria" w:cs="Arial"/>
                <w:b/>
                <w:color w:val="000000"/>
                <w:lang w:val="en-GB"/>
              </w:rPr>
              <w:t>8</w:t>
            </w:r>
          </w:p>
        </w:tc>
      </w:tr>
    </w:tbl>
    <w:p w:rsidR="00037AF8" w:rsidRPr="000B7D3A" w:rsidRDefault="00563E7E" w:rsidP="00037AF8">
      <w:pPr>
        <w:autoSpaceDE w:val="0"/>
        <w:autoSpaceDN w:val="0"/>
        <w:adjustRightInd w:val="0"/>
        <w:spacing w:after="240" w:line="360" w:lineRule="auto"/>
        <w:ind w:left="450"/>
        <w:jc w:val="both"/>
        <w:rPr>
          <w:rFonts w:ascii="Cambria" w:hAnsi="Cambria" w:cs="Arial"/>
          <w:color w:val="000000"/>
          <w:lang w:val="en-GB"/>
        </w:rPr>
      </w:pPr>
      <w:r w:rsidRPr="00126345">
        <w:rPr>
          <w:rFonts w:ascii="Cambria" w:hAnsi="Cambria" w:cs="Arial"/>
          <w:color w:val="000000"/>
          <w:lang w:val="en-GB"/>
        </w:rPr>
        <w:lastRenderedPageBreak/>
        <w:t>Therefore t</w:t>
      </w:r>
      <w:r w:rsidR="001B7315">
        <w:rPr>
          <w:rFonts w:ascii="Cambria" w:hAnsi="Cambria" w:cs="Arial"/>
          <w:color w:val="000000"/>
          <w:lang w:val="en-GB"/>
        </w:rPr>
        <w:t>he revenue gap for the year 2020-21</w:t>
      </w:r>
      <w:r w:rsidR="00037AF8" w:rsidRPr="00126345">
        <w:rPr>
          <w:rFonts w:ascii="Cambria" w:hAnsi="Cambria" w:cs="Arial"/>
          <w:color w:val="000000"/>
          <w:lang w:val="en-GB"/>
        </w:rPr>
        <w:t xml:space="preserve">, </w:t>
      </w:r>
      <w:r w:rsidRPr="00126345">
        <w:rPr>
          <w:rFonts w:ascii="Cambria" w:hAnsi="Cambria" w:cs="Arial"/>
          <w:color w:val="000000"/>
          <w:lang w:val="en-GB"/>
        </w:rPr>
        <w:t xml:space="preserve">with </w:t>
      </w:r>
      <w:r w:rsidR="00037AF8" w:rsidRPr="00126345">
        <w:rPr>
          <w:rFonts w:ascii="Cambria" w:hAnsi="Cambria" w:cs="Arial"/>
          <w:color w:val="000000"/>
          <w:lang w:val="en-GB"/>
        </w:rPr>
        <w:t xml:space="preserve">BSP </w:t>
      </w:r>
      <w:r w:rsidR="00B62315" w:rsidRPr="00126345">
        <w:rPr>
          <w:rFonts w:ascii="Cambria" w:hAnsi="Cambria" w:cs="Arial"/>
          <w:color w:val="000000"/>
          <w:lang w:val="en-GB"/>
        </w:rPr>
        <w:t xml:space="preserve">rate </w:t>
      </w:r>
      <w:r w:rsidR="00037AF8" w:rsidRPr="00126345">
        <w:rPr>
          <w:rFonts w:ascii="Cambria" w:hAnsi="Cambria" w:cs="Arial"/>
          <w:color w:val="000000"/>
          <w:lang w:val="en-GB"/>
        </w:rPr>
        <w:t xml:space="preserve">at </w:t>
      </w:r>
      <w:r w:rsidR="00B62315" w:rsidRPr="00126345">
        <w:rPr>
          <w:rFonts w:ascii="Cambria" w:hAnsi="Cambria" w:cs="Arial"/>
          <w:color w:val="000000"/>
          <w:lang w:val="en-GB"/>
        </w:rPr>
        <w:t xml:space="preserve">FY </w:t>
      </w:r>
      <w:r w:rsidR="00037AF8" w:rsidRPr="00126345">
        <w:rPr>
          <w:rFonts w:ascii="Cambria" w:hAnsi="Cambria" w:cs="Arial"/>
          <w:color w:val="000000"/>
          <w:lang w:val="en-GB"/>
        </w:rPr>
        <w:t>201</w:t>
      </w:r>
      <w:r w:rsidR="001B7315">
        <w:rPr>
          <w:rFonts w:ascii="Cambria" w:hAnsi="Cambria" w:cs="Arial"/>
          <w:color w:val="000000"/>
          <w:lang w:val="en-GB"/>
        </w:rPr>
        <w:t>9-20</w:t>
      </w:r>
      <w:r w:rsidR="00037AF8" w:rsidRPr="00126345">
        <w:rPr>
          <w:rFonts w:ascii="Cambria" w:hAnsi="Cambria" w:cs="Arial"/>
          <w:color w:val="000000"/>
          <w:lang w:val="en-GB"/>
        </w:rPr>
        <w:t xml:space="preserve"> </w:t>
      </w:r>
      <w:r w:rsidR="00960A17" w:rsidRPr="00126345">
        <w:rPr>
          <w:rFonts w:ascii="Cambria" w:hAnsi="Cambria" w:cs="Arial"/>
          <w:b/>
          <w:color w:val="000000"/>
          <w:u w:val="single"/>
          <w:lang w:val="en-GB"/>
        </w:rPr>
        <w:t>without</w:t>
      </w:r>
      <w:r w:rsidRPr="00126345">
        <w:rPr>
          <w:rFonts w:ascii="Cambria" w:hAnsi="Cambria" w:cs="Arial"/>
          <w:b/>
          <w:color w:val="000000"/>
          <w:u w:val="single"/>
          <w:lang w:val="en-GB"/>
        </w:rPr>
        <w:t xml:space="preserve"> railway</w:t>
      </w:r>
      <w:r w:rsidRPr="00126345">
        <w:rPr>
          <w:rFonts w:ascii="Cambria" w:hAnsi="Cambria" w:cs="Arial"/>
          <w:color w:val="000000"/>
          <w:lang w:val="en-GB"/>
        </w:rPr>
        <w:t xml:space="preserve"> would be </w:t>
      </w:r>
      <w:r w:rsidR="00037AF8" w:rsidRPr="00126345">
        <w:rPr>
          <w:rFonts w:ascii="Cambria" w:hAnsi="Cambria" w:cs="Arial"/>
          <w:color w:val="000000"/>
          <w:lang w:val="en-GB"/>
        </w:rPr>
        <w:t>Rs.</w:t>
      </w:r>
      <w:r w:rsidR="001B7315">
        <w:rPr>
          <w:rFonts w:ascii="Cambria" w:hAnsi="Cambria" w:cs="Arial"/>
          <w:color w:val="000000"/>
          <w:lang w:val="en-GB"/>
        </w:rPr>
        <w:t>3</w:t>
      </w:r>
      <w:r w:rsidR="003F142B">
        <w:rPr>
          <w:rFonts w:ascii="Cambria" w:hAnsi="Cambria" w:cs="Arial"/>
          <w:color w:val="000000"/>
          <w:lang w:val="en-GB"/>
        </w:rPr>
        <w:t>5</w:t>
      </w:r>
      <w:r w:rsidR="00FC0224">
        <w:rPr>
          <w:rFonts w:ascii="Cambria" w:hAnsi="Cambria" w:cs="Arial"/>
          <w:color w:val="000000"/>
          <w:lang w:val="en-GB"/>
        </w:rPr>
        <w:t>4.38</w:t>
      </w:r>
      <w:r w:rsidR="00037AF8" w:rsidRPr="00126345">
        <w:rPr>
          <w:rFonts w:ascii="Cambria" w:hAnsi="Cambria" w:cs="Arial"/>
          <w:color w:val="000000"/>
          <w:lang w:val="en-GB"/>
        </w:rPr>
        <w:t xml:space="preserve"> crores.</w:t>
      </w:r>
    </w:p>
    <w:p w:rsidR="00037AF8" w:rsidRDefault="00EB3D8D" w:rsidP="00037AF8">
      <w:pPr>
        <w:autoSpaceDE w:val="0"/>
        <w:autoSpaceDN w:val="0"/>
        <w:adjustRightInd w:val="0"/>
        <w:spacing w:after="240" w:line="360" w:lineRule="auto"/>
        <w:ind w:left="450"/>
        <w:jc w:val="both"/>
        <w:rPr>
          <w:rFonts w:ascii="Cambria" w:hAnsi="Cambria" w:cs="Arial"/>
          <w:color w:val="000000"/>
          <w:lang w:val="en-GB"/>
        </w:rPr>
      </w:pPr>
      <w:r>
        <w:rPr>
          <w:rFonts w:ascii="Cambria" w:hAnsi="Cambria" w:cs="Arial"/>
          <w:color w:val="000000"/>
          <w:lang w:val="en-GB"/>
        </w:rPr>
        <w:t xml:space="preserve">That, </w:t>
      </w:r>
      <w:r w:rsidR="00E75A03">
        <w:rPr>
          <w:rFonts w:ascii="Cambria" w:hAnsi="Cambria" w:cs="Arial"/>
          <w:color w:val="000000"/>
          <w:lang w:val="en-GB"/>
        </w:rPr>
        <w:t xml:space="preserve">in the above background </w:t>
      </w:r>
      <w:r>
        <w:rPr>
          <w:rFonts w:ascii="Cambria" w:hAnsi="Cambria" w:cs="Arial"/>
          <w:color w:val="000000"/>
          <w:lang w:val="en-GB"/>
        </w:rPr>
        <w:t xml:space="preserve">it is </w:t>
      </w:r>
      <w:r w:rsidR="00037AF8" w:rsidRPr="000B7D3A">
        <w:rPr>
          <w:rFonts w:ascii="Cambria" w:hAnsi="Cambria" w:cs="Arial"/>
          <w:color w:val="000000"/>
          <w:lang w:val="en-GB"/>
        </w:rPr>
        <w:t xml:space="preserve">worth mentioning </w:t>
      </w:r>
      <w:r>
        <w:rPr>
          <w:rFonts w:ascii="Cambria" w:hAnsi="Cambria" w:cs="Arial"/>
          <w:color w:val="000000"/>
          <w:lang w:val="en-GB"/>
        </w:rPr>
        <w:t>that a</w:t>
      </w:r>
      <w:r w:rsidR="00037AF8" w:rsidRPr="000B7D3A">
        <w:rPr>
          <w:rFonts w:ascii="Cambria" w:hAnsi="Cambria" w:cs="Arial"/>
          <w:color w:val="000000"/>
          <w:lang w:val="en-GB"/>
        </w:rPr>
        <w:t>s of now, at existing tariffs,</w:t>
      </w:r>
      <w:r>
        <w:rPr>
          <w:rFonts w:ascii="Cambria" w:hAnsi="Cambria" w:cs="Arial"/>
          <w:color w:val="000000"/>
          <w:lang w:val="en-GB"/>
        </w:rPr>
        <w:t xml:space="preserve"> the </w:t>
      </w:r>
      <w:r w:rsidR="006C38E9">
        <w:rPr>
          <w:rFonts w:ascii="Cambria" w:hAnsi="Cambria" w:cs="Arial"/>
          <w:color w:val="000000"/>
          <w:lang w:val="en-GB"/>
        </w:rPr>
        <w:t>Utility</w:t>
      </w:r>
      <w:r w:rsidR="00037AF8" w:rsidRPr="000B7D3A">
        <w:rPr>
          <w:rFonts w:ascii="Cambria" w:hAnsi="Cambria" w:cs="Arial"/>
          <w:color w:val="000000"/>
          <w:lang w:val="en-GB"/>
        </w:rPr>
        <w:t xml:space="preserve"> is unable to meet its current costs,   and unless there is</w:t>
      </w:r>
      <w:r w:rsidR="00E93E3C">
        <w:rPr>
          <w:rFonts w:ascii="Cambria" w:hAnsi="Cambria" w:cs="Arial"/>
          <w:color w:val="000000"/>
          <w:lang w:val="en-GB"/>
        </w:rPr>
        <w:t xml:space="preserve"> </w:t>
      </w:r>
      <w:r w:rsidR="00441350">
        <w:rPr>
          <w:rFonts w:ascii="Cambria" w:hAnsi="Cambria" w:cs="Arial"/>
          <w:color w:val="000000"/>
          <w:lang w:val="en-GB"/>
        </w:rPr>
        <w:t>decrease in input costs in FY 20</w:t>
      </w:r>
      <w:r w:rsidR="00037AF8" w:rsidRPr="000B7D3A">
        <w:rPr>
          <w:rFonts w:ascii="Cambria" w:hAnsi="Cambria" w:cs="Arial"/>
          <w:color w:val="000000"/>
          <w:lang w:val="en-GB"/>
        </w:rPr>
        <w:t>-</w:t>
      </w:r>
      <w:r w:rsidR="00441350">
        <w:rPr>
          <w:rFonts w:ascii="Cambria" w:hAnsi="Cambria" w:cs="Arial"/>
          <w:color w:val="000000"/>
          <w:lang w:val="en-GB"/>
        </w:rPr>
        <w:t>21</w:t>
      </w:r>
      <w:r w:rsidR="00F25AB3" w:rsidRPr="000B7D3A">
        <w:rPr>
          <w:rFonts w:ascii="Cambria" w:hAnsi="Cambria" w:cs="Arial"/>
          <w:color w:val="000000"/>
          <w:lang w:val="en-GB"/>
        </w:rPr>
        <w:t xml:space="preserve"> or</w:t>
      </w:r>
      <w:r w:rsidR="00037AF8" w:rsidRPr="000B7D3A">
        <w:rPr>
          <w:rFonts w:ascii="Cambria" w:hAnsi="Cambria" w:cs="Arial"/>
          <w:color w:val="000000"/>
          <w:lang w:val="en-GB"/>
        </w:rPr>
        <w:t xml:space="preserve"> any grant/ subsidy is provided, </w:t>
      </w:r>
      <w:r w:rsidR="00E75A03">
        <w:rPr>
          <w:rFonts w:ascii="Cambria" w:hAnsi="Cambria" w:cs="Arial"/>
          <w:color w:val="000000"/>
          <w:lang w:val="en-GB"/>
        </w:rPr>
        <w:t xml:space="preserve">it is very difficult in the part of </w:t>
      </w:r>
      <w:r w:rsidR="00037AF8" w:rsidRPr="000B7D3A">
        <w:rPr>
          <w:rFonts w:ascii="Cambria" w:hAnsi="Cambria" w:cs="Arial"/>
          <w:color w:val="000000"/>
          <w:lang w:val="en-GB"/>
        </w:rPr>
        <w:t xml:space="preserve">the </w:t>
      </w:r>
      <w:r w:rsidR="006C38E9">
        <w:rPr>
          <w:rFonts w:ascii="Cambria" w:hAnsi="Cambria" w:cs="Arial"/>
          <w:color w:val="000000"/>
          <w:lang w:val="en-GB"/>
        </w:rPr>
        <w:t>Utility</w:t>
      </w:r>
      <w:r w:rsidR="00037AF8" w:rsidRPr="000B7D3A">
        <w:rPr>
          <w:rFonts w:ascii="Cambria" w:hAnsi="Cambria" w:cs="Arial"/>
          <w:color w:val="000000"/>
          <w:lang w:val="en-GB"/>
        </w:rPr>
        <w:t xml:space="preserve"> </w:t>
      </w:r>
      <w:r w:rsidR="00E75A03">
        <w:rPr>
          <w:rFonts w:ascii="Cambria" w:hAnsi="Cambria" w:cs="Arial"/>
          <w:color w:val="000000"/>
          <w:lang w:val="en-GB"/>
        </w:rPr>
        <w:t>to accomplish</w:t>
      </w:r>
      <w:r w:rsidR="00037AF8" w:rsidRPr="000B7D3A">
        <w:rPr>
          <w:rFonts w:ascii="Cambria" w:hAnsi="Cambria" w:cs="Arial"/>
          <w:color w:val="000000"/>
          <w:lang w:val="en-GB"/>
        </w:rPr>
        <w:t xml:space="preserve"> its obligations as a distribution </w:t>
      </w:r>
      <w:r w:rsidR="006C38E9">
        <w:rPr>
          <w:rFonts w:ascii="Cambria" w:hAnsi="Cambria" w:cs="Arial"/>
          <w:color w:val="000000"/>
          <w:lang w:val="en-GB"/>
        </w:rPr>
        <w:t>Utility</w:t>
      </w:r>
      <w:r w:rsidR="00037AF8" w:rsidRPr="000B7D3A">
        <w:rPr>
          <w:rFonts w:ascii="Cambria" w:hAnsi="Cambria" w:cs="Arial"/>
          <w:color w:val="000000"/>
          <w:lang w:val="en-GB"/>
        </w:rPr>
        <w:t>. Accordingly</w:t>
      </w:r>
      <w:r w:rsidR="00E75A03">
        <w:rPr>
          <w:rFonts w:ascii="Cambria" w:hAnsi="Cambria" w:cs="Arial"/>
          <w:color w:val="000000"/>
          <w:lang w:val="en-GB"/>
        </w:rPr>
        <w:t>,</w:t>
      </w:r>
      <w:r w:rsidR="00037AF8" w:rsidRPr="000B7D3A">
        <w:rPr>
          <w:rFonts w:ascii="Cambria" w:hAnsi="Cambria" w:cs="Arial"/>
          <w:color w:val="000000"/>
          <w:lang w:val="en-GB"/>
        </w:rPr>
        <w:t xml:space="preserve"> the </w:t>
      </w:r>
      <w:r w:rsidR="006C38E9">
        <w:rPr>
          <w:rFonts w:ascii="Cambria" w:hAnsi="Cambria" w:cs="Arial"/>
          <w:color w:val="000000"/>
          <w:lang w:val="en-GB"/>
        </w:rPr>
        <w:t>utility</w:t>
      </w:r>
      <w:r w:rsidR="00037AF8" w:rsidRPr="000B7D3A">
        <w:rPr>
          <w:rFonts w:ascii="Cambria" w:hAnsi="Cambria" w:cs="Arial"/>
          <w:color w:val="000000"/>
          <w:lang w:val="en-GB"/>
        </w:rPr>
        <w:t xml:space="preserve"> prays that such exigencies be considered while processing this Petition</w:t>
      </w:r>
      <w:r>
        <w:rPr>
          <w:rFonts w:ascii="Cambria" w:hAnsi="Cambria" w:cs="Arial"/>
          <w:color w:val="000000"/>
          <w:lang w:val="en-GB"/>
        </w:rPr>
        <w:t>.</w:t>
      </w:r>
    </w:p>
    <w:p w:rsidR="00037AF8" w:rsidRPr="000254D9" w:rsidRDefault="00037AF8" w:rsidP="00037AF8">
      <w:pPr>
        <w:numPr>
          <w:ilvl w:val="1"/>
          <w:numId w:val="2"/>
        </w:numPr>
        <w:autoSpaceDE w:val="0"/>
        <w:autoSpaceDN w:val="0"/>
        <w:adjustRightInd w:val="0"/>
        <w:spacing w:after="240" w:line="360" w:lineRule="auto"/>
        <w:jc w:val="both"/>
        <w:rPr>
          <w:rFonts w:ascii="Cambria" w:hAnsi="Cambria" w:cs="Arial"/>
          <w:b/>
          <w:bCs/>
          <w:color w:val="000000"/>
        </w:rPr>
      </w:pPr>
      <w:r w:rsidRPr="000254D9">
        <w:rPr>
          <w:rFonts w:ascii="Cambria" w:hAnsi="Cambria" w:cs="Arial"/>
          <w:b/>
          <w:bCs/>
          <w:color w:val="000000"/>
        </w:rPr>
        <w:t>Prayer</w:t>
      </w:r>
    </w:p>
    <w:p w:rsidR="00037AF8" w:rsidRPr="000254D9" w:rsidRDefault="00037AF8" w:rsidP="00037AF8">
      <w:pPr>
        <w:autoSpaceDE w:val="0"/>
        <w:autoSpaceDN w:val="0"/>
        <w:adjustRightInd w:val="0"/>
        <w:spacing w:after="240" w:line="360" w:lineRule="auto"/>
        <w:ind w:left="360"/>
        <w:jc w:val="both"/>
        <w:rPr>
          <w:rFonts w:ascii="Cambria" w:hAnsi="Cambria" w:cs="Arial"/>
          <w:color w:val="000000"/>
          <w:lang w:val="en-GB"/>
        </w:rPr>
      </w:pPr>
      <w:r w:rsidRPr="000254D9">
        <w:rPr>
          <w:rFonts w:ascii="Cambria" w:hAnsi="Cambria" w:cs="Arial"/>
          <w:color w:val="000000"/>
          <w:lang w:val="en-GB"/>
        </w:rPr>
        <w:t xml:space="preserve">In the aforesaid facts and circumstances, the </w:t>
      </w:r>
      <w:r w:rsidR="006C38E9" w:rsidRPr="000254D9">
        <w:rPr>
          <w:rFonts w:ascii="Cambria" w:hAnsi="Cambria" w:cs="Arial"/>
          <w:color w:val="000000"/>
          <w:lang w:val="en-GB"/>
        </w:rPr>
        <w:t>utility</w:t>
      </w:r>
      <w:r w:rsidRPr="000254D9">
        <w:rPr>
          <w:rFonts w:ascii="Cambria" w:hAnsi="Cambria" w:cs="Arial"/>
          <w:color w:val="000000"/>
          <w:lang w:val="en-GB"/>
        </w:rPr>
        <w:t xml:space="preserve"> prays that the Hon’ble Commission may be pleased to:</w:t>
      </w:r>
    </w:p>
    <w:p w:rsidR="000254D9" w:rsidRPr="000B7D3A" w:rsidRDefault="000254D9" w:rsidP="000254D9">
      <w:pPr>
        <w:numPr>
          <w:ilvl w:val="0"/>
          <w:numId w:val="3"/>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Take the ARR application and Tariff Petition on record.</w:t>
      </w:r>
    </w:p>
    <w:p w:rsidR="000254D9" w:rsidRPr="000B7D3A" w:rsidRDefault="000254D9" w:rsidP="000254D9">
      <w:pPr>
        <w:numPr>
          <w:ilvl w:val="0"/>
          <w:numId w:val="3"/>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Approve the Annua</w:t>
      </w:r>
      <w:r w:rsidR="00441350">
        <w:rPr>
          <w:rFonts w:ascii="Cambria" w:hAnsi="Cambria" w:cs="Arial"/>
          <w:color w:val="000000"/>
          <w:lang w:val="en-GB"/>
        </w:rPr>
        <w:t>l Revenue Requirement for FY 2020-21</w:t>
      </w:r>
      <w:r>
        <w:rPr>
          <w:rFonts w:ascii="Cambria" w:hAnsi="Cambria" w:cs="Arial"/>
          <w:color w:val="000000"/>
          <w:lang w:val="en-GB"/>
        </w:rPr>
        <w:t>.</w:t>
      </w:r>
    </w:p>
    <w:p w:rsidR="000254D9" w:rsidRPr="000B7D3A" w:rsidRDefault="000254D9" w:rsidP="000254D9">
      <w:pPr>
        <w:numPr>
          <w:ilvl w:val="0"/>
          <w:numId w:val="3"/>
        </w:numPr>
        <w:autoSpaceDE w:val="0"/>
        <w:autoSpaceDN w:val="0"/>
        <w:adjustRightInd w:val="0"/>
        <w:spacing w:after="240" w:line="360" w:lineRule="auto"/>
        <w:jc w:val="both"/>
        <w:rPr>
          <w:rFonts w:ascii="Cambria" w:hAnsi="Cambria" w:cs="Arial"/>
          <w:color w:val="000000"/>
          <w:lang w:val="en-GB"/>
        </w:rPr>
      </w:pPr>
      <w:r w:rsidRPr="000B7D3A">
        <w:rPr>
          <w:rFonts w:ascii="Cambria" w:hAnsi="Cambria" w:cs="Arial"/>
          <w:color w:val="000000"/>
          <w:lang w:val="en-GB"/>
        </w:rPr>
        <w:t>Bridg</w:t>
      </w:r>
      <w:r w:rsidR="00441350">
        <w:rPr>
          <w:rFonts w:ascii="Cambria" w:hAnsi="Cambria" w:cs="Arial"/>
          <w:color w:val="000000"/>
          <w:lang w:val="en-GB"/>
        </w:rPr>
        <w:t>e the Revenue Gap for the FY 2020-21</w:t>
      </w:r>
      <w:r w:rsidRPr="000B7D3A">
        <w:rPr>
          <w:rFonts w:ascii="Cambria" w:hAnsi="Cambria" w:cs="Arial"/>
          <w:color w:val="000000"/>
          <w:lang w:val="en-GB"/>
        </w:rPr>
        <w:t xml:space="preserve"> through increase in Retail Supply Tariff</w:t>
      </w:r>
      <w:r>
        <w:rPr>
          <w:rFonts w:ascii="Cambria" w:hAnsi="Cambria" w:cs="Arial"/>
          <w:color w:val="000000"/>
          <w:lang w:val="en-GB"/>
        </w:rPr>
        <w:t xml:space="preserve"> or</w:t>
      </w:r>
      <w:r w:rsidRPr="000B7D3A">
        <w:rPr>
          <w:rFonts w:ascii="Cambria" w:hAnsi="Cambria" w:cs="Arial"/>
          <w:color w:val="000000"/>
          <w:lang w:val="en-GB"/>
        </w:rPr>
        <w:t xml:space="preserve"> reduction in Bulk Supply Tariff (BST) wherever possible.</w:t>
      </w:r>
    </w:p>
    <w:p w:rsidR="000254D9" w:rsidRPr="000B7D3A" w:rsidRDefault="000254D9" w:rsidP="000254D9">
      <w:pPr>
        <w:autoSpaceDE w:val="0"/>
        <w:autoSpaceDN w:val="0"/>
        <w:adjustRightInd w:val="0"/>
        <w:spacing w:after="240" w:line="360" w:lineRule="auto"/>
        <w:ind w:left="1080"/>
        <w:jc w:val="both"/>
        <w:rPr>
          <w:rFonts w:ascii="Cambria" w:hAnsi="Cambria" w:cs="Arial"/>
          <w:b/>
          <w:u w:val="single"/>
          <w:lang w:val="en-GB"/>
        </w:rPr>
      </w:pPr>
      <w:r w:rsidRPr="000B7D3A">
        <w:rPr>
          <w:rFonts w:ascii="Cambria" w:hAnsi="Cambria" w:cs="Arial"/>
          <w:b/>
          <w:u w:val="single"/>
          <w:lang w:val="en-GB"/>
        </w:rPr>
        <w:t>Allow the following Tariff rationalisation measures as proposed</w:t>
      </w:r>
    </w:p>
    <w:p w:rsidR="000254D9" w:rsidRPr="00FC2C6E" w:rsidRDefault="000254D9" w:rsidP="000254D9">
      <w:pPr>
        <w:numPr>
          <w:ilvl w:val="0"/>
          <w:numId w:val="3"/>
        </w:numPr>
        <w:autoSpaceDE w:val="0"/>
        <w:autoSpaceDN w:val="0"/>
        <w:adjustRightInd w:val="0"/>
        <w:spacing w:after="240" w:line="336" w:lineRule="auto"/>
        <w:jc w:val="both"/>
        <w:rPr>
          <w:rFonts w:ascii="Cambria" w:hAnsi="Cambria" w:cs="Arial"/>
        </w:rPr>
      </w:pPr>
      <w:r>
        <w:rPr>
          <w:rFonts w:ascii="Cambria" w:hAnsi="Cambria" w:cs="Arial"/>
        </w:rPr>
        <w:t>Withdrawal of Power Factor Incentive.</w:t>
      </w:r>
    </w:p>
    <w:p w:rsidR="000254D9" w:rsidRPr="009903DE" w:rsidRDefault="000254D9" w:rsidP="000254D9">
      <w:pPr>
        <w:numPr>
          <w:ilvl w:val="0"/>
          <w:numId w:val="3"/>
        </w:numPr>
        <w:autoSpaceDE w:val="0"/>
        <w:autoSpaceDN w:val="0"/>
        <w:adjustRightInd w:val="0"/>
        <w:spacing w:after="240" w:line="336" w:lineRule="auto"/>
        <w:jc w:val="both"/>
        <w:rPr>
          <w:rFonts w:ascii="Cambria" w:hAnsi="Cambria" w:cs="Arial"/>
        </w:rPr>
      </w:pPr>
      <w:r w:rsidRPr="009903DE">
        <w:rPr>
          <w:rFonts w:ascii="Cambria" w:hAnsi="Cambria" w:cs="Arial"/>
        </w:rPr>
        <w:t>Rationalization of MMFC charges for LT category of consumers where disparity in monthly fixed charges for 1</w:t>
      </w:r>
      <w:r w:rsidRPr="009903DE">
        <w:rPr>
          <w:rFonts w:ascii="Cambria" w:hAnsi="Cambria" w:cs="Arial"/>
          <w:vertAlign w:val="superscript"/>
        </w:rPr>
        <w:t>st</w:t>
      </w:r>
      <w:r w:rsidRPr="009903DE">
        <w:rPr>
          <w:rFonts w:ascii="Cambria" w:hAnsi="Cambria" w:cs="Arial"/>
        </w:rPr>
        <w:t xml:space="preserve"> kw or part thereof with the additional kw or part thereof.</w:t>
      </w:r>
    </w:p>
    <w:p w:rsidR="000254D9" w:rsidRDefault="000254D9" w:rsidP="000254D9">
      <w:pPr>
        <w:numPr>
          <w:ilvl w:val="0"/>
          <w:numId w:val="3"/>
        </w:numPr>
        <w:autoSpaceDE w:val="0"/>
        <w:autoSpaceDN w:val="0"/>
        <w:adjustRightInd w:val="0"/>
        <w:spacing w:after="240" w:line="336" w:lineRule="auto"/>
        <w:jc w:val="both"/>
        <w:rPr>
          <w:rFonts w:ascii="Cambria" w:hAnsi="Cambria" w:cs="Arial"/>
        </w:rPr>
      </w:pPr>
      <w:r>
        <w:rPr>
          <w:rFonts w:ascii="Cambria" w:hAnsi="Cambria" w:cs="Arial"/>
        </w:rPr>
        <w:t>Conti</w:t>
      </w:r>
      <w:r w:rsidR="00904A4E">
        <w:rPr>
          <w:rFonts w:ascii="Cambria" w:hAnsi="Cambria" w:cs="Arial"/>
        </w:rPr>
        <w:t xml:space="preserve">nuance of </w:t>
      </w:r>
      <w:r w:rsidR="00441350">
        <w:rPr>
          <w:rFonts w:ascii="Cambria" w:hAnsi="Cambria" w:cs="Arial"/>
        </w:rPr>
        <w:t xml:space="preserve">additional rebate of 2 </w:t>
      </w:r>
      <w:r>
        <w:rPr>
          <w:rFonts w:ascii="Cambria" w:hAnsi="Cambria" w:cs="Arial"/>
        </w:rPr>
        <w:t>% to LT  single phase Domestic category of consumers only if payment made through digital mode/online over and above normal rebate.</w:t>
      </w:r>
    </w:p>
    <w:p w:rsidR="000254D9" w:rsidRDefault="000254D9" w:rsidP="000254D9">
      <w:pPr>
        <w:numPr>
          <w:ilvl w:val="0"/>
          <w:numId w:val="3"/>
        </w:numPr>
        <w:autoSpaceDE w:val="0"/>
        <w:autoSpaceDN w:val="0"/>
        <w:adjustRightInd w:val="0"/>
        <w:spacing w:after="240" w:line="336" w:lineRule="auto"/>
        <w:jc w:val="both"/>
        <w:rPr>
          <w:rFonts w:ascii="Cambria" w:hAnsi="Cambria" w:cs="Arial"/>
        </w:rPr>
      </w:pPr>
      <w:r w:rsidRPr="000B7D3A">
        <w:rPr>
          <w:rFonts w:ascii="Cambria" w:hAnsi="Cambria" w:cs="Arial"/>
        </w:rPr>
        <w:t xml:space="preserve">Introduction of KVAH Billing </w:t>
      </w:r>
    </w:p>
    <w:p w:rsidR="000254D9" w:rsidRDefault="000254D9" w:rsidP="000254D9">
      <w:pPr>
        <w:numPr>
          <w:ilvl w:val="0"/>
          <w:numId w:val="3"/>
        </w:numPr>
        <w:autoSpaceDE w:val="0"/>
        <w:autoSpaceDN w:val="0"/>
        <w:adjustRightInd w:val="0"/>
        <w:spacing w:after="240" w:line="336" w:lineRule="auto"/>
        <w:jc w:val="both"/>
        <w:rPr>
          <w:rFonts w:ascii="Cambria" w:hAnsi="Cambria" w:cs="Arial"/>
        </w:rPr>
      </w:pPr>
      <w:r w:rsidRPr="000B7D3A">
        <w:rPr>
          <w:rFonts w:ascii="Cambria" w:hAnsi="Cambria" w:cs="Arial"/>
        </w:rPr>
        <w:t xml:space="preserve">Extending of levy of penalty on energy charges when a consumer draws power </w:t>
      </w:r>
    </w:p>
    <w:p w:rsidR="000254D9" w:rsidRPr="00DD660F" w:rsidRDefault="000254D9" w:rsidP="000254D9">
      <w:pPr>
        <w:numPr>
          <w:ilvl w:val="0"/>
          <w:numId w:val="3"/>
        </w:numPr>
        <w:autoSpaceDE w:val="0"/>
        <w:autoSpaceDN w:val="0"/>
        <w:adjustRightInd w:val="0"/>
        <w:spacing w:after="240" w:line="336" w:lineRule="auto"/>
        <w:jc w:val="both"/>
        <w:rPr>
          <w:rFonts w:ascii="Cambria" w:hAnsi="Cambria"/>
          <w:b/>
        </w:rPr>
      </w:pPr>
      <w:r w:rsidRPr="000B7D3A">
        <w:rPr>
          <w:rFonts w:ascii="Cambria" w:hAnsi="Cambria" w:cs="Arial"/>
        </w:rPr>
        <w:t>2% Rebate be allowed on</w:t>
      </w:r>
      <w:r w:rsidRPr="000B7D3A">
        <w:rPr>
          <w:rFonts w:ascii="Cambria" w:hAnsi="Cambria" w:cs="Arial"/>
          <w:b/>
          <w:u w:val="single"/>
          <w:lang w:val="en-GB"/>
        </w:rPr>
        <w:t xml:space="preserve"> payment of current monthly BST bills (excluding all arrears) within 3 days time instead of 2 working </w:t>
      </w:r>
      <w:r w:rsidRPr="00EB3D8D">
        <w:rPr>
          <w:rFonts w:ascii="Cambria" w:hAnsi="Cambria" w:cs="Arial"/>
          <w:b/>
          <w:u w:val="single"/>
          <w:lang w:val="en-GB"/>
        </w:rPr>
        <w:t>da</w:t>
      </w:r>
      <w:r w:rsidRPr="00EB3D8D">
        <w:rPr>
          <w:rFonts w:ascii="Cambria" w:hAnsi="Cambria"/>
          <w:b/>
          <w:u w:val="single"/>
        </w:rPr>
        <w:t>ys</w:t>
      </w:r>
      <w:r>
        <w:rPr>
          <w:rFonts w:ascii="Cambria" w:hAnsi="Cambria"/>
        </w:rPr>
        <w:t xml:space="preserve"> and also t</w:t>
      </w:r>
      <w:r w:rsidRPr="000B7D3A">
        <w:rPr>
          <w:rFonts w:ascii="Cambria" w:hAnsi="Cambria" w:cs="Arial"/>
          <w:color w:val="000000"/>
          <w:lang w:val="en-GB"/>
        </w:rPr>
        <w:t>o allow rebate on part payment of BST bills</w:t>
      </w:r>
      <w:r>
        <w:rPr>
          <w:rFonts w:ascii="Cambria" w:hAnsi="Cambria" w:cs="Arial"/>
          <w:color w:val="000000"/>
          <w:lang w:val="en-GB"/>
        </w:rPr>
        <w:t>.</w:t>
      </w:r>
    </w:p>
    <w:p w:rsidR="00DD660F" w:rsidRPr="00090FBC" w:rsidRDefault="00DD660F" w:rsidP="000254D9">
      <w:pPr>
        <w:numPr>
          <w:ilvl w:val="0"/>
          <w:numId w:val="3"/>
        </w:numPr>
        <w:autoSpaceDE w:val="0"/>
        <w:autoSpaceDN w:val="0"/>
        <w:adjustRightInd w:val="0"/>
        <w:spacing w:after="240" w:line="336" w:lineRule="auto"/>
        <w:jc w:val="both"/>
        <w:rPr>
          <w:rFonts w:ascii="Cambria" w:hAnsi="Cambria"/>
          <w:b/>
        </w:rPr>
      </w:pPr>
      <w:r>
        <w:rPr>
          <w:rFonts w:ascii="Cambria" w:hAnsi="Cambria"/>
        </w:rPr>
        <w:lastRenderedPageBreak/>
        <w:t>I</w:t>
      </w:r>
      <w:r w:rsidRPr="00DD660F">
        <w:rPr>
          <w:rFonts w:ascii="Cambria" w:hAnsi="Cambria"/>
        </w:rPr>
        <w:t xml:space="preserve">nclude </w:t>
      </w:r>
      <w:r>
        <w:rPr>
          <w:rFonts w:ascii="Cambria" w:hAnsi="Cambria"/>
        </w:rPr>
        <w:t xml:space="preserve">Billing &amp; Collection </w:t>
      </w:r>
      <w:r w:rsidRPr="00DD660F">
        <w:rPr>
          <w:rFonts w:ascii="Cambria" w:hAnsi="Cambria"/>
        </w:rPr>
        <w:t>expenses in addition to the employee expenses and contractual obligations as allowed on monthly basis as escrow relaxation and issue necessary directions to GRIDCO.</w:t>
      </w:r>
    </w:p>
    <w:p w:rsidR="000254D9" w:rsidRPr="00090FBC" w:rsidRDefault="000254D9" w:rsidP="000254D9">
      <w:pPr>
        <w:numPr>
          <w:ilvl w:val="0"/>
          <w:numId w:val="3"/>
        </w:numPr>
        <w:autoSpaceDE w:val="0"/>
        <w:autoSpaceDN w:val="0"/>
        <w:adjustRightInd w:val="0"/>
        <w:spacing w:after="240" w:line="336" w:lineRule="auto"/>
        <w:jc w:val="both"/>
        <w:rPr>
          <w:rFonts w:ascii="Cambria" w:hAnsi="Cambria"/>
          <w:b/>
        </w:rPr>
      </w:pPr>
      <w:r>
        <w:rPr>
          <w:rFonts w:ascii="Cambria" w:hAnsi="Cambria" w:cs="Arial"/>
          <w:color w:val="000000"/>
          <w:lang w:val="en-GB"/>
        </w:rPr>
        <w:t>Introduction of Amnesty arrear clearance scheme for LT non industrial category of consumer considering receivable audit report.</w:t>
      </w:r>
    </w:p>
    <w:p w:rsidR="000254D9" w:rsidRPr="000B7D3A" w:rsidRDefault="000254D9" w:rsidP="000254D9">
      <w:pPr>
        <w:numPr>
          <w:ilvl w:val="0"/>
          <w:numId w:val="3"/>
        </w:numPr>
        <w:autoSpaceDE w:val="0"/>
        <w:autoSpaceDN w:val="0"/>
        <w:adjustRightInd w:val="0"/>
        <w:spacing w:after="240" w:line="336" w:lineRule="auto"/>
        <w:jc w:val="both"/>
        <w:rPr>
          <w:rFonts w:ascii="Cambria" w:hAnsi="Cambria"/>
        </w:rPr>
      </w:pPr>
      <w:r w:rsidRPr="000B7D3A">
        <w:rPr>
          <w:rFonts w:ascii="Cambria" w:hAnsi="Cambria"/>
        </w:rPr>
        <w:t xml:space="preserve">Addressing of negative cash flow of </w:t>
      </w:r>
      <w:r>
        <w:rPr>
          <w:rFonts w:ascii="Cambria" w:hAnsi="Cambria"/>
        </w:rPr>
        <w:t>the utility</w:t>
      </w:r>
      <w:r w:rsidRPr="000B7D3A">
        <w:rPr>
          <w:rFonts w:ascii="Cambria" w:hAnsi="Cambria"/>
        </w:rPr>
        <w:t xml:space="preserve"> by giving special </w:t>
      </w:r>
      <w:r>
        <w:rPr>
          <w:rFonts w:ascii="Cambria" w:hAnsi="Cambria"/>
        </w:rPr>
        <w:t>relief towards reduction of BST</w:t>
      </w:r>
      <w:r w:rsidRPr="000B7D3A">
        <w:rPr>
          <w:rFonts w:ascii="Cambria" w:hAnsi="Cambria"/>
        </w:rPr>
        <w:t>.</w:t>
      </w:r>
    </w:p>
    <w:p w:rsidR="000254D9" w:rsidRPr="000B7D3A" w:rsidRDefault="000254D9" w:rsidP="000254D9">
      <w:pPr>
        <w:numPr>
          <w:ilvl w:val="0"/>
          <w:numId w:val="3"/>
        </w:numPr>
        <w:autoSpaceDE w:val="0"/>
        <w:autoSpaceDN w:val="0"/>
        <w:adjustRightInd w:val="0"/>
        <w:spacing w:after="240" w:line="336" w:lineRule="auto"/>
        <w:jc w:val="both"/>
        <w:rPr>
          <w:rFonts w:ascii="Cambria" w:hAnsi="Cambria"/>
        </w:rPr>
      </w:pPr>
      <w:r w:rsidRPr="000B7D3A">
        <w:rPr>
          <w:rFonts w:ascii="Cambria" w:hAnsi="Cambria"/>
        </w:rPr>
        <w:t>Other Tariff rationalization measures as proposed in this application</w:t>
      </w:r>
    </w:p>
    <w:p w:rsidR="000254D9" w:rsidRPr="000B7D3A" w:rsidRDefault="000254D9" w:rsidP="000254D9">
      <w:pPr>
        <w:numPr>
          <w:ilvl w:val="0"/>
          <w:numId w:val="3"/>
        </w:numPr>
        <w:autoSpaceDE w:val="0"/>
        <w:autoSpaceDN w:val="0"/>
        <w:adjustRightInd w:val="0"/>
        <w:spacing w:after="240" w:line="336" w:lineRule="auto"/>
        <w:jc w:val="both"/>
        <w:rPr>
          <w:rFonts w:ascii="Cambria" w:hAnsi="Cambria" w:cs="Arial"/>
          <w:lang w:val="en-GB"/>
        </w:rPr>
      </w:pPr>
      <w:r w:rsidRPr="000B7D3A">
        <w:rPr>
          <w:rFonts w:ascii="Cambria" w:hAnsi="Cambria" w:cs="Arial"/>
          <w:lang w:val="en-GB"/>
        </w:rPr>
        <w:t xml:space="preserve">Allow the </w:t>
      </w:r>
      <w:r>
        <w:rPr>
          <w:rFonts w:ascii="Cambria" w:hAnsi="Cambria" w:cs="Arial"/>
          <w:lang w:val="en-GB"/>
        </w:rPr>
        <w:t>Utility</w:t>
      </w:r>
      <w:r w:rsidRPr="000B7D3A">
        <w:rPr>
          <w:rFonts w:ascii="Cambria" w:hAnsi="Cambria" w:cs="Arial"/>
          <w:lang w:val="en-GB"/>
        </w:rPr>
        <w:t xml:space="preserve"> to submit additional documents, modify the present petition, if so required, during the proceeding of this application.</w:t>
      </w:r>
    </w:p>
    <w:p w:rsidR="000254D9" w:rsidRDefault="000254D9" w:rsidP="000254D9">
      <w:pPr>
        <w:pStyle w:val="ARR-normalbody"/>
        <w:spacing w:line="336" w:lineRule="auto"/>
        <w:rPr>
          <w:rFonts w:ascii="Cambria" w:hAnsi="Cambria"/>
          <w:sz w:val="24"/>
          <w:szCs w:val="24"/>
        </w:rPr>
      </w:pPr>
      <w:r w:rsidRPr="000B7D3A">
        <w:rPr>
          <w:rFonts w:ascii="Cambria" w:hAnsi="Cambria"/>
          <w:sz w:val="24"/>
          <w:szCs w:val="24"/>
        </w:rPr>
        <w:t>Any other relief, order or direction which the Hon’ble Commission deems fit</w:t>
      </w:r>
    </w:p>
    <w:p w:rsidR="004276A0" w:rsidRPr="000B7D3A" w:rsidRDefault="00441350" w:rsidP="004276A0">
      <w:pPr>
        <w:pStyle w:val="Heading1"/>
        <w:numPr>
          <w:ilvl w:val="0"/>
          <w:numId w:val="1"/>
        </w:numPr>
        <w:spacing w:line="360" w:lineRule="auto"/>
        <w:jc w:val="both"/>
        <w:rPr>
          <w:rFonts w:ascii="Cambria" w:hAnsi="Cambria"/>
          <w:sz w:val="24"/>
          <w:szCs w:val="24"/>
        </w:rPr>
      </w:pPr>
      <w:bookmarkStart w:id="1" w:name="_Toc25850906"/>
      <w:r>
        <w:rPr>
          <w:rFonts w:ascii="Cambria" w:hAnsi="Cambria"/>
          <w:sz w:val="24"/>
          <w:szCs w:val="24"/>
        </w:rPr>
        <w:t>Revenue Requirement for FY 2020</w:t>
      </w:r>
      <w:r w:rsidR="004276A0" w:rsidRPr="000B7D3A">
        <w:rPr>
          <w:rFonts w:ascii="Cambria" w:hAnsi="Cambria"/>
          <w:sz w:val="24"/>
          <w:szCs w:val="24"/>
        </w:rPr>
        <w:t>-</w:t>
      </w:r>
      <w:r w:rsidR="003F142B">
        <w:rPr>
          <w:rFonts w:ascii="Cambria" w:hAnsi="Cambria"/>
          <w:sz w:val="24"/>
          <w:szCs w:val="24"/>
        </w:rPr>
        <w:t>2</w:t>
      </w:r>
      <w:r>
        <w:rPr>
          <w:rFonts w:ascii="Cambria" w:hAnsi="Cambria"/>
          <w:sz w:val="24"/>
          <w:szCs w:val="24"/>
        </w:rPr>
        <w:t>1</w:t>
      </w:r>
      <w:bookmarkEnd w:id="1"/>
    </w:p>
    <w:p w:rsidR="004276A0" w:rsidRPr="000B7D3A" w:rsidRDefault="004276A0" w:rsidP="004276A0">
      <w:pPr>
        <w:pStyle w:val="BodyText2"/>
        <w:spacing w:line="360" w:lineRule="auto"/>
        <w:jc w:val="both"/>
        <w:rPr>
          <w:rFonts w:ascii="Cambria" w:hAnsi="Cambria" w:cs="Arial"/>
          <w:sz w:val="24"/>
          <w:szCs w:val="24"/>
          <w:lang w:val="en-GB"/>
        </w:rPr>
      </w:pPr>
      <w:r w:rsidRPr="000B7D3A">
        <w:rPr>
          <w:rFonts w:ascii="Cambria" w:hAnsi="Cambria" w:cs="Arial"/>
          <w:sz w:val="24"/>
          <w:szCs w:val="24"/>
          <w:lang w:val="en-GB"/>
        </w:rPr>
        <w:t>This section outlines the assumptions for estimation o</w:t>
      </w:r>
      <w:r w:rsidR="00441350">
        <w:rPr>
          <w:rFonts w:ascii="Cambria" w:hAnsi="Cambria" w:cs="Arial"/>
          <w:sz w:val="24"/>
          <w:szCs w:val="24"/>
          <w:lang w:val="en-GB"/>
        </w:rPr>
        <w:t>f revenue requirement for FY 2020-21</w:t>
      </w:r>
      <w:r w:rsidRPr="000B7D3A">
        <w:rPr>
          <w:rFonts w:ascii="Cambria" w:hAnsi="Cambria" w:cs="Arial"/>
          <w:sz w:val="24"/>
          <w:szCs w:val="24"/>
          <w:lang w:val="en-GB"/>
        </w:rPr>
        <w:t>.</w:t>
      </w:r>
    </w:p>
    <w:p w:rsidR="00A5197C" w:rsidRPr="00DE3BDD" w:rsidRDefault="00E75A03" w:rsidP="004E3A11">
      <w:pPr>
        <w:pStyle w:val="Caption"/>
        <w:keepNext/>
        <w:spacing w:line="360" w:lineRule="auto"/>
        <w:jc w:val="both"/>
        <w:rPr>
          <w:rFonts w:ascii="Cambria" w:hAnsi="Cambria" w:cs="Arial"/>
          <w:sz w:val="24"/>
          <w:szCs w:val="24"/>
        </w:rPr>
      </w:pPr>
      <w:r>
        <w:rPr>
          <w:rFonts w:ascii="Cambria" w:hAnsi="Cambria" w:cs="Arial"/>
          <w:sz w:val="24"/>
          <w:szCs w:val="24"/>
        </w:rPr>
        <w:t xml:space="preserve">While filing </w:t>
      </w:r>
      <w:r w:rsidR="004E3A11">
        <w:rPr>
          <w:rFonts w:ascii="Cambria" w:hAnsi="Cambria" w:cs="Arial"/>
          <w:sz w:val="24"/>
          <w:szCs w:val="24"/>
        </w:rPr>
        <w:t xml:space="preserve">the ARR, </w:t>
      </w:r>
      <w:r>
        <w:rPr>
          <w:rFonts w:ascii="Cambria" w:hAnsi="Cambria" w:cs="Arial"/>
          <w:sz w:val="24"/>
          <w:szCs w:val="24"/>
        </w:rPr>
        <w:t xml:space="preserve"> the Distribution loss and AT&amp;C loss trajectory was considered in the following manner</w:t>
      </w:r>
    </w:p>
    <w:p w:rsidR="00A5197C" w:rsidRPr="00DE3BDD" w:rsidRDefault="00A5197C" w:rsidP="00A5197C">
      <w:pPr>
        <w:pStyle w:val="Caption"/>
        <w:keepNext/>
        <w:rPr>
          <w:rFonts w:ascii="Cambria" w:hAnsi="Cambria" w:cs="Arial"/>
          <w:b/>
          <w:sz w:val="24"/>
          <w:szCs w:val="24"/>
        </w:rPr>
      </w:pPr>
      <w:r w:rsidRPr="00DE3BDD">
        <w:rPr>
          <w:rFonts w:ascii="Cambria" w:hAnsi="Cambria" w:cs="Arial"/>
          <w:b/>
          <w:sz w:val="24"/>
          <w:szCs w:val="24"/>
        </w:rPr>
        <w:t xml:space="preserve">  </w:t>
      </w:r>
      <w:r w:rsidRPr="00DE3BDD">
        <w:rPr>
          <w:rFonts w:ascii="Cambria" w:hAnsi="Cambria" w:cs="Arial"/>
          <w:b/>
          <w:sz w:val="24"/>
          <w:szCs w:val="24"/>
        </w:rPr>
        <w:tab/>
        <w:t xml:space="preserve">Distribution </w:t>
      </w:r>
      <w:r w:rsidR="008170BC">
        <w:rPr>
          <w:rFonts w:ascii="Cambria" w:hAnsi="Cambria" w:cs="Arial"/>
          <w:b/>
          <w:sz w:val="24"/>
          <w:szCs w:val="24"/>
        </w:rPr>
        <w:t xml:space="preserve">and AT &amp; C Loss </w:t>
      </w:r>
      <w:r w:rsidRPr="00DE3BDD">
        <w:rPr>
          <w:rFonts w:ascii="Cambria" w:hAnsi="Cambria" w:cs="Arial"/>
          <w:b/>
          <w:sz w:val="24"/>
          <w:szCs w:val="24"/>
        </w:rPr>
        <w:t xml:space="preserve">FY </w:t>
      </w:r>
      <w:r>
        <w:rPr>
          <w:rFonts w:ascii="Cambria" w:hAnsi="Cambria" w:cs="Arial"/>
          <w:b/>
          <w:sz w:val="24"/>
          <w:szCs w:val="24"/>
        </w:rPr>
        <w:t>201</w:t>
      </w:r>
      <w:r w:rsidR="004E3A11">
        <w:rPr>
          <w:rFonts w:ascii="Cambria" w:hAnsi="Cambria" w:cs="Arial"/>
          <w:b/>
          <w:sz w:val="24"/>
          <w:szCs w:val="24"/>
        </w:rPr>
        <w:t>8</w:t>
      </w:r>
      <w:r w:rsidR="00124232">
        <w:rPr>
          <w:rFonts w:ascii="Cambria" w:hAnsi="Cambria" w:cs="Arial"/>
          <w:b/>
          <w:sz w:val="24"/>
          <w:szCs w:val="24"/>
        </w:rPr>
        <w:t>-</w:t>
      </w:r>
      <w:r>
        <w:rPr>
          <w:rFonts w:ascii="Cambria" w:hAnsi="Cambria" w:cs="Arial"/>
          <w:b/>
          <w:sz w:val="24"/>
          <w:szCs w:val="24"/>
        </w:rPr>
        <w:t>1</w:t>
      </w:r>
      <w:r w:rsidR="004E3A11">
        <w:rPr>
          <w:rFonts w:ascii="Cambria" w:hAnsi="Cambria" w:cs="Arial"/>
          <w:b/>
          <w:sz w:val="24"/>
          <w:szCs w:val="24"/>
        </w:rPr>
        <w:t>9</w:t>
      </w:r>
      <w:r w:rsidRPr="00DE3BDD">
        <w:rPr>
          <w:rFonts w:ascii="Cambria" w:hAnsi="Cambria" w:cs="Arial"/>
          <w:b/>
          <w:sz w:val="24"/>
          <w:szCs w:val="24"/>
        </w:rPr>
        <w:t xml:space="preserve"> to FY </w:t>
      </w:r>
      <w:r w:rsidR="004E3A11">
        <w:rPr>
          <w:rFonts w:ascii="Cambria" w:hAnsi="Cambria" w:cs="Arial"/>
          <w:b/>
          <w:sz w:val="24"/>
          <w:szCs w:val="24"/>
        </w:rPr>
        <w:t>2020-21</w:t>
      </w:r>
    </w:p>
    <w:tbl>
      <w:tblPr>
        <w:tblW w:w="8206" w:type="dxa"/>
        <w:tblInd w:w="198"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2970"/>
        <w:gridCol w:w="1620"/>
        <w:gridCol w:w="1440"/>
        <w:gridCol w:w="2176"/>
      </w:tblGrid>
      <w:tr w:rsidR="003F142B" w:rsidRPr="00DE3BDD" w:rsidTr="00472A4D">
        <w:trPr>
          <w:trHeight w:val="224"/>
        </w:trPr>
        <w:tc>
          <w:tcPr>
            <w:tcW w:w="2970" w:type="dxa"/>
            <w:shd w:val="solid" w:color="000080" w:fill="FFFFFF"/>
            <w:vAlign w:val="center"/>
          </w:tcPr>
          <w:p w:rsidR="003F142B" w:rsidRPr="00DE3BDD" w:rsidRDefault="003F142B" w:rsidP="00472A4D">
            <w:pPr>
              <w:jc w:val="center"/>
              <w:rPr>
                <w:rFonts w:ascii="Cambria" w:hAnsi="Cambria" w:cs="Arial"/>
                <w:b/>
                <w:bCs/>
                <w:color w:val="FFFFFF"/>
              </w:rPr>
            </w:pPr>
          </w:p>
        </w:tc>
        <w:tc>
          <w:tcPr>
            <w:tcW w:w="1620" w:type="dxa"/>
            <w:shd w:val="solid" w:color="000080" w:fill="FFFFFF"/>
          </w:tcPr>
          <w:p w:rsidR="003F142B" w:rsidRPr="00DE3BDD" w:rsidRDefault="003F142B" w:rsidP="003F142B">
            <w:pPr>
              <w:rPr>
                <w:rFonts w:ascii="Cambria" w:hAnsi="Cambria" w:cs="Arial"/>
                <w:color w:val="FFFFFF"/>
              </w:rPr>
            </w:pPr>
            <w:r w:rsidRPr="00DE3BDD">
              <w:rPr>
                <w:rFonts w:ascii="Cambria" w:hAnsi="Cambria" w:cs="Arial"/>
                <w:color w:val="FFFFFF"/>
              </w:rPr>
              <w:t xml:space="preserve">FY </w:t>
            </w:r>
            <w:r w:rsidR="004E3A11">
              <w:rPr>
                <w:rFonts w:ascii="Cambria" w:hAnsi="Cambria" w:cs="Arial"/>
                <w:color w:val="FFFFFF"/>
              </w:rPr>
              <w:t>2018</w:t>
            </w:r>
            <w:r>
              <w:rPr>
                <w:rFonts w:ascii="Cambria" w:hAnsi="Cambria" w:cs="Arial"/>
                <w:color w:val="FFFFFF"/>
              </w:rPr>
              <w:t>-1</w:t>
            </w:r>
            <w:r w:rsidR="004E3A11">
              <w:rPr>
                <w:rFonts w:ascii="Cambria" w:hAnsi="Cambria" w:cs="Arial"/>
                <w:color w:val="FFFFFF"/>
              </w:rPr>
              <w:t>9 (Actual)</w:t>
            </w:r>
          </w:p>
        </w:tc>
        <w:tc>
          <w:tcPr>
            <w:tcW w:w="1440" w:type="dxa"/>
            <w:shd w:val="solid" w:color="000080" w:fill="FFFFFF"/>
          </w:tcPr>
          <w:p w:rsidR="003F142B" w:rsidRPr="00DE3BDD" w:rsidRDefault="003F142B" w:rsidP="003F142B">
            <w:pPr>
              <w:jc w:val="center"/>
              <w:rPr>
                <w:rFonts w:ascii="Cambria" w:hAnsi="Cambria" w:cs="Arial"/>
                <w:color w:val="FFFFFF"/>
              </w:rPr>
            </w:pPr>
            <w:r w:rsidRPr="00DE3BDD">
              <w:rPr>
                <w:rFonts w:ascii="Cambria" w:hAnsi="Cambria" w:cs="Arial"/>
                <w:color w:val="FFFFFF"/>
              </w:rPr>
              <w:t xml:space="preserve">FY </w:t>
            </w:r>
            <w:r w:rsidR="004E3A11">
              <w:rPr>
                <w:rFonts w:ascii="Cambria" w:hAnsi="Cambria" w:cs="Arial"/>
                <w:color w:val="FFFFFF"/>
              </w:rPr>
              <w:t>2019-20 (Estimated)</w:t>
            </w:r>
            <w:r w:rsidRPr="00DE3BDD">
              <w:rPr>
                <w:rFonts w:ascii="Cambria" w:hAnsi="Cambria" w:cs="Arial"/>
                <w:color w:val="FFFFFF"/>
              </w:rPr>
              <w:t xml:space="preserve"> </w:t>
            </w:r>
          </w:p>
        </w:tc>
        <w:tc>
          <w:tcPr>
            <w:tcW w:w="2176" w:type="dxa"/>
            <w:shd w:val="solid" w:color="000080" w:fill="FFFFFF"/>
          </w:tcPr>
          <w:p w:rsidR="003F142B" w:rsidRPr="00DE3BDD" w:rsidRDefault="003F142B" w:rsidP="004E3A11">
            <w:pPr>
              <w:jc w:val="center"/>
              <w:rPr>
                <w:rFonts w:ascii="Cambria" w:hAnsi="Cambria" w:cs="Arial"/>
                <w:color w:val="FFFFFF"/>
              </w:rPr>
            </w:pPr>
            <w:r w:rsidRPr="00DE3BDD">
              <w:rPr>
                <w:rFonts w:ascii="Cambria" w:hAnsi="Cambria" w:cs="Arial"/>
                <w:color w:val="FFFFFF"/>
              </w:rPr>
              <w:t xml:space="preserve"> FY </w:t>
            </w:r>
            <w:r w:rsidR="004E3A11">
              <w:rPr>
                <w:rFonts w:ascii="Cambria" w:hAnsi="Cambria" w:cs="Arial"/>
                <w:color w:val="FFFFFF"/>
              </w:rPr>
              <w:t>2020-21</w:t>
            </w:r>
            <w:r w:rsidRPr="00DE3BDD">
              <w:rPr>
                <w:rFonts w:ascii="Cambria" w:hAnsi="Cambria" w:cs="Arial"/>
                <w:color w:val="FFFFFF"/>
              </w:rPr>
              <w:t xml:space="preserve"> (</w:t>
            </w:r>
            <w:r w:rsidR="004E3A11">
              <w:rPr>
                <w:rFonts w:ascii="Cambria" w:hAnsi="Cambria" w:cs="Arial"/>
                <w:color w:val="FFFFFF"/>
              </w:rPr>
              <w:t>Projected</w:t>
            </w:r>
            <w:r w:rsidRPr="00DE3BDD">
              <w:rPr>
                <w:rFonts w:ascii="Cambria" w:hAnsi="Cambria" w:cs="Arial"/>
                <w:color w:val="FFFFFF"/>
              </w:rPr>
              <w:t>)</w:t>
            </w:r>
          </w:p>
        </w:tc>
      </w:tr>
      <w:tr w:rsidR="003F142B" w:rsidRPr="00DE3BDD" w:rsidTr="00472A4D">
        <w:trPr>
          <w:trHeight w:val="224"/>
        </w:trPr>
        <w:tc>
          <w:tcPr>
            <w:tcW w:w="2970" w:type="dxa"/>
            <w:vAlign w:val="center"/>
          </w:tcPr>
          <w:p w:rsidR="003F142B" w:rsidRPr="00DE3BDD" w:rsidRDefault="003F142B" w:rsidP="00472A4D">
            <w:pPr>
              <w:rPr>
                <w:rFonts w:ascii="Cambria" w:hAnsi="Cambria" w:cs="Arial"/>
              </w:rPr>
            </w:pPr>
            <w:r w:rsidRPr="00DE3BDD">
              <w:rPr>
                <w:rFonts w:ascii="Cambria" w:hAnsi="Cambria" w:cs="Arial"/>
              </w:rPr>
              <w:t>Energy Sales in MU</w:t>
            </w:r>
          </w:p>
        </w:tc>
        <w:tc>
          <w:tcPr>
            <w:tcW w:w="1620" w:type="dxa"/>
          </w:tcPr>
          <w:p w:rsidR="003F142B" w:rsidRPr="00DE3BDD" w:rsidRDefault="004E3A11" w:rsidP="00CA6493">
            <w:pPr>
              <w:jc w:val="center"/>
              <w:rPr>
                <w:rFonts w:ascii="Cambria" w:hAnsi="Cambria" w:cs="Arial"/>
              </w:rPr>
            </w:pPr>
            <w:r>
              <w:rPr>
                <w:rFonts w:ascii="Cambria" w:hAnsi="Cambria" w:cs="Arial"/>
              </w:rPr>
              <w:t>4530.916</w:t>
            </w:r>
          </w:p>
        </w:tc>
        <w:tc>
          <w:tcPr>
            <w:tcW w:w="1440" w:type="dxa"/>
          </w:tcPr>
          <w:p w:rsidR="003F142B" w:rsidRPr="00DE3BDD" w:rsidRDefault="004E67B7" w:rsidP="00CA6493">
            <w:pPr>
              <w:jc w:val="center"/>
              <w:rPr>
                <w:rFonts w:ascii="Cambria" w:hAnsi="Cambria" w:cs="Arial"/>
              </w:rPr>
            </w:pPr>
            <w:r>
              <w:rPr>
                <w:rFonts w:ascii="Cambria" w:hAnsi="Cambria" w:cs="Arial"/>
              </w:rPr>
              <w:t>4927.478</w:t>
            </w:r>
          </w:p>
        </w:tc>
        <w:tc>
          <w:tcPr>
            <w:tcW w:w="2176" w:type="dxa"/>
          </w:tcPr>
          <w:p w:rsidR="003F142B" w:rsidRPr="00DE3BDD" w:rsidRDefault="0043427D" w:rsidP="00CA6493">
            <w:pPr>
              <w:jc w:val="center"/>
              <w:rPr>
                <w:rFonts w:ascii="Cambria" w:hAnsi="Cambria" w:cs="Arial"/>
              </w:rPr>
            </w:pPr>
            <w:r>
              <w:rPr>
                <w:rFonts w:ascii="Cambria" w:hAnsi="Cambria" w:cs="Arial"/>
              </w:rPr>
              <w:t>5345.569</w:t>
            </w:r>
          </w:p>
        </w:tc>
      </w:tr>
      <w:tr w:rsidR="003F142B" w:rsidRPr="00DE3BDD" w:rsidTr="00472A4D">
        <w:trPr>
          <w:trHeight w:val="469"/>
        </w:trPr>
        <w:tc>
          <w:tcPr>
            <w:tcW w:w="2970" w:type="dxa"/>
            <w:vAlign w:val="center"/>
          </w:tcPr>
          <w:p w:rsidR="003F142B" w:rsidRPr="00DE3BDD" w:rsidRDefault="003F142B" w:rsidP="00472A4D">
            <w:pPr>
              <w:rPr>
                <w:rFonts w:ascii="Cambria" w:hAnsi="Cambria" w:cs="Arial"/>
              </w:rPr>
            </w:pPr>
            <w:r w:rsidRPr="00DE3BDD">
              <w:rPr>
                <w:rFonts w:ascii="Cambria" w:hAnsi="Cambria" w:cs="Arial"/>
              </w:rPr>
              <w:t>Energy Purchased in MU</w:t>
            </w:r>
          </w:p>
        </w:tc>
        <w:tc>
          <w:tcPr>
            <w:tcW w:w="1620" w:type="dxa"/>
          </w:tcPr>
          <w:p w:rsidR="003F142B" w:rsidRPr="00DE3BDD" w:rsidRDefault="004E3A11" w:rsidP="00410CCD">
            <w:pPr>
              <w:jc w:val="center"/>
              <w:rPr>
                <w:rFonts w:ascii="Cambria" w:hAnsi="Cambria" w:cs="Arial"/>
              </w:rPr>
            </w:pPr>
            <w:r>
              <w:rPr>
                <w:rFonts w:ascii="Cambria" w:hAnsi="Cambria" w:cs="Arial"/>
              </w:rPr>
              <w:t>5575.609</w:t>
            </w:r>
          </w:p>
        </w:tc>
        <w:tc>
          <w:tcPr>
            <w:tcW w:w="1440" w:type="dxa"/>
          </w:tcPr>
          <w:p w:rsidR="003F142B" w:rsidRPr="00DE3BDD" w:rsidRDefault="004E67B7" w:rsidP="00CA6493">
            <w:pPr>
              <w:jc w:val="center"/>
              <w:rPr>
                <w:rFonts w:ascii="Cambria" w:hAnsi="Cambria" w:cs="Arial"/>
              </w:rPr>
            </w:pPr>
            <w:r>
              <w:rPr>
                <w:rFonts w:ascii="Cambria" w:hAnsi="Cambria" w:cs="Arial"/>
              </w:rPr>
              <w:t>6060.855</w:t>
            </w:r>
          </w:p>
        </w:tc>
        <w:tc>
          <w:tcPr>
            <w:tcW w:w="2176" w:type="dxa"/>
          </w:tcPr>
          <w:p w:rsidR="003F142B" w:rsidRPr="00DE3BDD" w:rsidRDefault="0043427D" w:rsidP="00410CCD">
            <w:pPr>
              <w:jc w:val="center"/>
              <w:rPr>
                <w:rFonts w:ascii="Cambria" w:hAnsi="Cambria" w:cs="Arial"/>
              </w:rPr>
            </w:pPr>
            <w:r>
              <w:rPr>
                <w:rFonts w:ascii="Cambria" w:hAnsi="Cambria" w:cs="Arial"/>
              </w:rPr>
              <w:t>6567.039</w:t>
            </w:r>
          </w:p>
        </w:tc>
      </w:tr>
      <w:tr w:rsidR="003F142B" w:rsidRPr="00DE3BDD" w:rsidTr="00472A4D">
        <w:trPr>
          <w:trHeight w:val="408"/>
        </w:trPr>
        <w:tc>
          <w:tcPr>
            <w:tcW w:w="2970" w:type="dxa"/>
            <w:vAlign w:val="center"/>
          </w:tcPr>
          <w:p w:rsidR="003F142B" w:rsidRPr="00DE3BDD" w:rsidRDefault="003F142B" w:rsidP="00472A4D">
            <w:pPr>
              <w:rPr>
                <w:rFonts w:ascii="Cambria" w:hAnsi="Cambria" w:cs="Arial"/>
              </w:rPr>
            </w:pPr>
            <w:r w:rsidRPr="00DE3BDD">
              <w:rPr>
                <w:rFonts w:ascii="Cambria" w:hAnsi="Cambria" w:cs="Arial"/>
              </w:rPr>
              <w:t xml:space="preserve">Overall Distribution </w:t>
            </w:r>
            <w:r>
              <w:rPr>
                <w:rFonts w:ascii="Cambria" w:hAnsi="Cambria" w:cs="Arial"/>
              </w:rPr>
              <w:t>l</w:t>
            </w:r>
            <w:r w:rsidRPr="00DE3BDD">
              <w:rPr>
                <w:rFonts w:ascii="Cambria" w:hAnsi="Cambria" w:cs="Arial"/>
              </w:rPr>
              <w:t>oss%</w:t>
            </w:r>
          </w:p>
        </w:tc>
        <w:tc>
          <w:tcPr>
            <w:tcW w:w="1620" w:type="dxa"/>
          </w:tcPr>
          <w:p w:rsidR="003F142B" w:rsidRPr="00DE3BDD" w:rsidRDefault="004E3A11" w:rsidP="00124232">
            <w:pPr>
              <w:jc w:val="center"/>
              <w:rPr>
                <w:rFonts w:ascii="Cambria" w:hAnsi="Cambria" w:cs="Arial"/>
              </w:rPr>
            </w:pPr>
            <w:r>
              <w:rPr>
                <w:rFonts w:ascii="Cambria" w:hAnsi="Cambria" w:cs="Arial"/>
              </w:rPr>
              <w:t>18.74</w:t>
            </w:r>
          </w:p>
        </w:tc>
        <w:tc>
          <w:tcPr>
            <w:tcW w:w="1440" w:type="dxa"/>
          </w:tcPr>
          <w:p w:rsidR="003F142B" w:rsidRPr="00DE3BDD" w:rsidRDefault="004E67B7" w:rsidP="00124232">
            <w:pPr>
              <w:jc w:val="center"/>
              <w:rPr>
                <w:rFonts w:ascii="Cambria" w:hAnsi="Cambria" w:cs="Arial"/>
              </w:rPr>
            </w:pPr>
            <w:r>
              <w:rPr>
                <w:rFonts w:ascii="Cambria" w:hAnsi="Cambria" w:cs="Arial"/>
              </w:rPr>
              <w:t>18.70</w:t>
            </w:r>
          </w:p>
        </w:tc>
        <w:tc>
          <w:tcPr>
            <w:tcW w:w="2176" w:type="dxa"/>
          </w:tcPr>
          <w:p w:rsidR="003F142B" w:rsidRPr="00DE3BDD" w:rsidRDefault="003F142B" w:rsidP="00124232">
            <w:pPr>
              <w:jc w:val="center"/>
              <w:rPr>
                <w:rFonts w:ascii="Cambria" w:hAnsi="Cambria" w:cs="Arial"/>
              </w:rPr>
            </w:pPr>
            <w:r>
              <w:rPr>
                <w:rFonts w:ascii="Cambria" w:hAnsi="Cambria" w:cs="Arial"/>
              </w:rPr>
              <w:t>1</w:t>
            </w:r>
            <w:r w:rsidR="0043427D">
              <w:rPr>
                <w:rFonts w:ascii="Cambria" w:hAnsi="Cambria" w:cs="Arial"/>
              </w:rPr>
              <w:t>8.60</w:t>
            </w:r>
          </w:p>
        </w:tc>
      </w:tr>
      <w:tr w:rsidR="003F142B" w:rsidRPr="00DE3BDD" w:rsidTr="00472A4D">
        <w:trPr>
          <w:trHeight w:val="408"/>
        </w:trPr>
        <w:tc>
          <w:tcPr>
            <w:tcW w:w="2970" w:type="dxa"/>
            <w:vAlign w:val="center"/>
          </w:tcPr>
          <w:p w:rsidR="003F142B" w:rsidRPr="00DE3BDD" w:rsidRDefault="003F142B" w:rsidP="00472A4D">
            <w:pPr>
              <w:rPr>
                <w:rFonts w:ascii="Cambria" w:hAnsi="Cambria" w:cs="Arial"/>
              </w:rPr>
            </w:pPr>
            <w:r>
              <w:rPr>
                <w:rFonts w:ascii="Cambria" w:hAnsi="Cambria" w:cs="Arial"/>
              </w:rPr>
              <w:t>Collection Efficiency%</w:t>
            </w:r>
          </w:p>
        </w:tc>
        <w:tc>
          <w:tcPr>
            <w:tcW w:w="1620" w:type="dxa"/>
          </w:tcPr>
          <w:p w:rsidR="003F142B" w:rsidRDefault="004E3A11" w:rsidP="00472A4D">
            <w:pPr>
              <w:jc w:val="center"/>
              <w:rPr>
                <w:rFonts w:ascii="Cambria" w:hAnsi="Cambria" w:cs="Arial"/>
              </w:rPr>
            </w:pPr>
            <w:r>
              <w:rPr>
                <w:rFonts w:ascii="Cambria" w:hAnsi="Cambria" w:cs="Arial"/>
              </w:rPr>
              <w:t>94.10</w:t>
            </w:r>
          </w:p>
        </w:tc>
        <w:tc>
          <w:tcPr>
            <w:tcW w:w="1440" w:type="dxa"/>
          </w:tcPr>
          <w:p w:rsidR="003F142B" w:rsidRDefault="003F142B" w:rsidP="00124232">
            <w:pPr>
              <w:jc w:val="center"/>
              <w:rPr>
                <w:rFonts w:ascii="Cambria" w:hAnsi="Cambria" w:cs="Arial"/>
              </w:rPr>
            </w:pPr>
            <w:r>
              <w:rPr>
                <w:rFonts w:ascii="Cambria" w:hAnsi="Cambria" w:cs="Arial"/>
              </w:rPr>
              <w:t>9</w:t>
            </w:r>
            <w:r w:rsidR="00410CCD">
              <w:rPr>
                <w:rFonts w:ascii="Cambria" w:hAnsi="Cambria" w:cs="Arial"/>
              </w:rPr>
              <w:t>6</w:t>
            </w:r>
            <w:r w:rsidR="004E67B7">
              <w:rPr>
                <w:rFonts w:ascii="Cambria" w:hAnsi="Cambria" w:cs="Arial"/>
              </w:rPr>
              <w:t>.00</w:t>
            </w:r>
          </w:p>
        </w:tc>
        <w:tc>
          <w:tcPr>
            <w:tcW w:w="2176" w:type="dxa"/>
          </w:tcPr>
          <w:p w:rsidR="003F142B" w:rsidRDefault="003F142B" w:rsidP="00124232">
            <w:pPr>
              <w:jc w:val="center"/>
              <w:rPr>
                <w:rFonts w:ascii="Cambria" w:hAnsi="Cambria" w:cs="Arial"/>
              </w:rPr>
            </w:pPr>
            <w:r>
              <w:rPr>
                <w:rFonts w:ascii="Cambria" w:hAnsi="Cambria" w:cs="Arial"/>
              </w:rPr>
              <w:t>9</w:t>
            </w:r>
            <w:r w:rsidR="00410CCD">
              <w:rPr>
                <w:rFonts w:ascii="Cambria" w:hAnsi="Cambria" w:cs="Arial"/>
              </w:rPr>
              <w:t>7.00</w:t>
            </w:r>
          </w:p>
        </w:tc>
      </w:tr>
      <w:tr w:rsidR="003F142B" w:rsidRPr="00DE3BDD" w:rsidTr="00472A4D">
        <w:trPr>
          <w:trHeight w:val="408"/>
        </w:trPr>
        <w:tc>
          <w:tcPr>
            <w:tcW w:w="2970" w:type="dxa"/>
            <w:vAlign w:val="center"/>
          </w:tcPr>
          <w:p w:rsidR="003F142B" w:rsidRDefault="003F142B" w:rsidP="00472A4D">
            <w:pPr>
              <w:rPr>
                <w:rFonts w:ascii="Cambria" w:hAnsi="Cambria" w:cs="Arial"/>
              </w:rPr>
            </w:pPr>
            <w:r>
              <w:rPr>
                <w:rFonts w:ascii="Cambria" w:hAnsi="Cambria" w:cs="Arial"/>
              </w:rPr>
              <w:t>AT&amp; C loss %</w:t>
            </w:r>
          </w:p>
        </w:tc>
        <w:tc>
          <w:tcPr>
            <w:tcW w:w="1620" w:type="dxa"/>
          </w:tcPr>
          <w:p w:rsidR="003F142B" w:rsidRDefault="004E3A11" w:rsidP="00472A4D">
            <w:pPr>
              <w:jc w:val="center"/>
              <w:rPr>
                <w:rFonts w:ascii="Cambria" w:hAnsi="Cambria" w:cs="Arial"/>
              </w:rPr>
            </w:pPr>
            <w:r>
              <w:rPr>
                <w:rFonts w:ascii="Cambria" w:hAnsi="Cambria" w:cs="Arial"/>
              </w:rPr>
              <w:t>23.</w:t>
            </w:r>
            <w:r w:rsidR="004E67B7">
              <w:rPr>
                <w:rFonts w:ascii="Cambria" w:hAnsi="Cambria" w:cs="Arial"/>
              </w:rPr>
              <w:t>53</w:t>
            </w:r>
          </w:p>
        </w:tc>
        <w:tc>
          <w:tcPr>
            <w:tcW w:w="1440" w:type="dxa"/>
          </w:tcPr>
          <w:p w:rsidR="003F142B" w:rsidRDefault="003F142B" w:rsidP="00124232">
            <w:pPr>
              <w:jc w:val="center"/>
              <w:rPr>
                <w:rFonts w:ascii="Cambria" w:hAnsi="Cambria" w:cs="Arial"/>
              </w:rPr>
            </w:pPr>
            <w:r>
              <w:rPr>
                <w:rFonts w:ascii="Cambria" w:hAnsi="Cambria" w:cs="Arial"/>
              </w:rPr>
              <w:t>2</w:t>
            </w:r>
            <w:r w:rsidR="004E67B7">
              <w:rPr>
                <w:rFonts w:ascii="Cambria" w:hAnsi="Cambria" w:cs="Arial"/>
              </w:rPr>
              <w:t>1.95</w:t>
            </w:r>
          </w:p>
        </w:tc>
        <w:tc>
          <w:tcPr>
            <w:tcW w:w="2176" w:type="dxa"/>
          </w:tcPr>
          <w:p w:rsidR="003F142B" w:rsidRDefault="0043427D" w:rsidP="00124232">
            <w:pPr>
              <w:jc w:val="center"/>
              <w:rPr>
                <w:rFonts w:ascii="Cambria" w:hAnsi="Cambria" w:cs="Arial"/>
              </w:rPr>
            </w:pPr>
            <w:r>
              <w:rPr>
                <w:rFonts w:ascii="Cambria" w:hAnsi="Cambria" w:cs="Arial"/>
              </w:rPr>
              <w:t>21.04</w:t>
            </w:r>
          </w:p>
        </w:tc>
      </w:tr>
    </w:tbl>
    <w:p w:rsidR="00A5197C" w:rsidRPr="00DE3BDD" w:rsidRDefault="00A5197C" w:rsidP="00A5197C">
      <w:pPr>
        <w:spacing w:line="360" w:lineRule="auto"/>
        <w:ind w:left="90"/>
        <w:jc w:val="both"/>
        <w:rPr>
          <w:rFonts w:ascii="Cambria" w:hAnsi="Cambria" w:cs="Arial"/>
        </w:rPr>
      </w:pPr>
    </w:p>
    <w:p w:rsidR="00A5197C" w:rsidRPr="004A79FF" w:rsidRDefault="00124232" w:rsidP="00A5197C">
      <w:pPr>
        <w:spacing w:line="360" w:lineRule="auto"/>
        <w:ind w:left="90"/>
        <w:jc w:val="both"/>
        <w:rPr>
          <w:rFonts w:ascii="Cambria" w:hAnsi="Cambria" w:cs="Arial"/>
          <w:b/>
          <w:u w:val="single"/>
        </w:rPr>
      </w:pPr>
      <w:r w:rsidRPr="003E3158">
        <w:rPr>
          <w:rFonts w:ascii="Cambria" w:hAnsi="Cambria" w:cs="Arial"/>
        </w:rPr>
        <w:t xml:space="preserve">Due to </w:t>
      </w:r>
      <w:r w:rsidR="00A5197C" w:rsidRPr="003E3158">
        <w:rPr>
          <w:rFonts w:ascii="Cambria" w:hAnsi="Cambria" w:cs="Arial"/>
        </w:rPr>
        <w:t xml:space="preserve">industrial slow down </w:t>
      </w:r>
      <w:r w:rsidRPr="003E3158">
        <w:rPr>
          <w:rFonts w:ascii="Cambria" w:hAnsi="Cambria" w:cs="Arial"/>
        </w:rPr>
        <w:t xml:space="preserve">on account of </w:t>
      </w:r>
      <w:r w:rsidR="00A5197C" w:rsidRPr="003E3158">
        <w:rPr>
          <w:rFonts w:ascii="Cambria" w:hAnsi="Cambria" w:cs="Arial"/>
        </w:rPr>
        <w:t>global recession for mineral based industries</w:t>
      </w:r>
      <w:r w:rsidRPr="003E3158">
        <w:rPr>
          <w:rFonts w:ascii="Cambria" w:hAnsi="Cambria" w:cs="Arial"/>
        </w:rPr>
        <w:t xml:space="preserve"> along with </w:t>
      </w:r>
      <w:r w:rsidR="00A5197C" w:rsidRPr="003E3158">
        <w:rPr>
          <w:rFonts w:ascii="Cambria" w:hAnsi="Cambria" w:cs="Arial"/>
        </w:rPr>
        <w:t>most of the industries are moving towards their own CPP which is</w:t>
      </w:r>
      <w:r w:rsidR="00274868" w:rsidRPr="003E3158">
        <w:rPr>
          <w:rFonts w:ascii="Cambria" w:hAnsi="Cambria" w:cs="Arial"/>
        </w:rPr>
        <w:t xml:space="preserve"> reducing the cross subsidy of N</w:t>
      </w:r>
      <w:r w:rsidR="00A5197C" w:rsidRPr="003E3158">
        <w:rPr>
          <w:rFonts w:ascii="Cambria" w:hAnsi="Cambria" w:cs="Arial"/>
        </w:rPr>
        <w:t xml:space="preserve">ESCO. Presently there are </w:t>
      </w:r>
      <w:r w:rsidR="004D67B2">
        <w:rPr>
          <w:rFonts w:ascii="Cambria" w:hAnsi="Cambria" w:cs="Arial"/>
        </w:rPr>
        <w:t>39</w:t>
      </w:r>
      <w:r w:rsidR="00A5197C" w:rsidRPr="003E3158">
        <w:rPr>
          <w:rFonts w:ascii="Cambria" w:hAnsi="Cambria" w:cs="Arial"/>
        </w:rPr>
        <w:t xml:space="preserve"> EHT consumers</w:t>
      </w:r>
      <w:r w:rsidR="007F4273" w:rsidRPr="003E3158">
        <w:rPr>
          <w:rFonts w:ascii="Cambria" w:hAnsi="Cambria" w:cs="Arial"/>
        </w:rPr>
        <w:t xml:space="preserve"> </w:t>
      </w:r>
      <w:r w:rsidR="00A5197C" w:rsidRPr="003E3158">
        <w:rPr>
          <w:rFonts w:ascii="Cambria" w:hAnsi="Cambria" w:cs="Arial"/>
        </w:rPr>
        <w:t>including railway</w:t>
      </w:r>
      <w:r w:rsidR="00CA6493" w:rsidRPr="003E3158">
        <w:rPr>
          <w:rFonts w:ascii="Cambria" w:hAnsi="Cambria" w:cs="Arial"/>
        </w:rPr>
        <w:t xml:space="preserve"> </w:t>
      </w:r>
      <w:r w:rsidR="004D67B2" w:rsidRPr="003E3158">
        <w:rPr>
          <w:rFonts w:ascii="Cambria" w:hAnsi="Cambria" w:cs="Arial"/>
        </w:rPr>
        <w:t>that</w:t>
      </w:r>
      <w:r w:rsidR="00CA6493" w:rsidRPr="003E3158">
        <w:rPr>
          <w:rFonts w:ascii="Cambria" w:hAnsi="Cambria" w:cs="Arial"/>
        </w:rPr>
        <w:t xml:space="preserve"> is </w:t>
      </w:r>
      <w:r w:rsidR="00A5197C" w:rsidRPr="003E3158">
        <w:rPr>
          <w:rFonts w:ascii="Cambria" w:hAnsi="Cambria" w:cs="Arial"/>
        </w:rPr>
        <w:t xml:space="preserve">having </w:t>
      </w:r>
      <w:r w:rsidR="00274868" w:rsidRPr="003E3158">
        <w:rPr>
          <w:rFonts w:ascii="Cambria" w:hAnsi="Cambria" w:cs="Arial"/>
        </w:rPr>
        <w:t>8</w:t>
      </w:r>
      <w:r w:rsidR="00A5197C" w:rsidRPr="003E3158">
        <w:rPr>
          <w:rFonts w:ascii="Cambria" w:hAnsi="Cambria" w:cs="Arial"/>
        </w:rPr>
        <w:t xml:space="preserve"> nos of connections. Out of the other </w:t>
      </w:r>
      <w:r w:rsidR="004D67B2">
        <w:rPr>
          <w:rFonts w:ascii="Cambria" w:hAnsi="Cambria" w:cs="Arial"/>
        </w:rPr>
        <w:t>31</w:t>
      </w:r>
      <w:r w:rsidR="00A5197C" w:rsidRPr="003E3158">
        <w:rPr>
          <w:rFonts w:ascii="Cambria" w:hAnsi="Cambria" w:cs="Arial"/>
        </w:rPr>
        <w:t xml:space="preserve"> nos, </w:t>
      </w:r>
      <w:r w:rsidR="004D67B2">
        <w:rPr>
          <w:rFonts w:ascii="Cambria" w:hAnsi="Cambria" w:cs="Arial"/>
        </w:rPr>
        <w:t>1</w:t>
      </w:r>
      <w:r w:rsidR="00B11294">
        <w:rPr>
          <w:rFonts w:ascii="Cambria" w:hAnsi="Cambria" w:cs="Arial"/>
        </w:rPr>
        <w:t>0</w:t>
      </w:r>
      <w:r w:rsidR="00A5197C" w:rsidRPr="003E3158">
        <w:rPr>
          <w:rFonts w:ascii="Cambria" w:hAnsi="Cambria" w:cs="Arial"/>
        </w:rPr>
        <w:t xml:space="preserve"> no</w:t>
      </w:r>
      <w:r w:rsidR="00CA6493" w:rsidRPr="003E3158">
        <w:rPr>
          <w:rFonts w:ascii="Cambria" w:hAnsi="Cambria" w:cs="Arial"/>
        </w:rPr>
        <w:t>s</w:t>
      </w:r>
      <w:r w:rsidR="00A5197C" w:rsidRPr="003E3158">
        <w:rPr>
          <w:rFonts w:ascii="Cambria" w:hAnsi="Cambria" w:cs="Arial"/>
        </w:rPr>
        <w:t xml:space="preserve"> of industries are having their own CPP. The drawal made in EHT category mainly towards consumption of </w:t>
      </w:r>
      <w:r w:rsidR="00A5197C" w:rsidRPr="003E3158">
        <w:rPr>
          <w:rFonts w:ascii="Cambria" w:hAnsi="Cambria" w:cs="Arial"/>
        </w:rPr>
        <w:lastRenderedPageBreak/>
        <w:t>Rail</w:t>
      </w:r>
      <w:r w:rsidR="00274868" w:rsidRPr="003E3158">
        <w:rPr>
          <w:rFonts w:ascii="Cambria" w:hAnsi="Cambria" w:cs="Arial"/>
        </w:rPr>
        <w:t>way,</w:t>
      </w:r>
      <w:r w:rsidR="00CA6493" w:rsidRPr="003E3158">
        <w:rPr>
          <w:rFonts w:ascii="Cambria" w:hAnsi="Cambria" w:cs="Arial"/>
        </w:rPr>
        <w:t xml:space="preserve"> </w:t>
      </w:r>
      <w:r w:rsidR="007F4273" w:rsidRPr="003E3158">
        <w:rPr>
          <w:rFonts w:ascii="Cambria" w:hAnsi="Cambria" w:cs="Arial"/>
        </w:rPr>
        <w:t>B</w:t>
      </w:r>
      <w:r w:rsidR="00274868" w:rsidRPr="003E3158">
        <w:rPr>
          <w:rFonts w:ascii="Cambria" w:hAnsi="Cambria" w:cs="Arial"/>
        </w:rPr>
        <w:t>alasore Alloyes Ltd, Rohit Ferro Tech Ltd.,</w:t>
      </w:r>
      <w:r w:rsidR="00CA6493" w:rsidRPr="003E3158">
        <w:rPr>
          <w:rFonts w:ascii="Cambria" w:hAnsi="Cambria" w:cs="Arial"/>
        </w:rPr>
        <w:t xml:space="preserve"> and </w:t>
      </w:r>
      <w:r w:rsidR="00274868" w:rsidRPr="003E3158">
        <w:rPr>
          <w:rFonts w:ascii="Cambria" w:hAnsi="Cambria" w:cs="Arial"/>
        </w:rPr>
        <w:t>Tata Steel Ltd., Kalinga Nagar</w:t>
      </w:r>
      <w:r w:rsidR="00A5197C" w:rsidRPr="003E3158">
        <w:rPr>
          <w:rFonts w:ascii="Cambria" w:hAnsi="Cambria" w:cs="Arial"/>
        </w:rPr>
        <w:t xml:space="preserve">. Others are drawing very less as compared to their CD. </w:t>
      </w:r>
      <w:r w:rsidR="00B14EB2">
        <w:rPr>
          <w:rFonts w:ascii="Cambria" w:hAnsi="Cambria" w:cs="Arial"/>
        </w:rPr>
        <w:t xml:space="preserve">Due to paucity of raw materials major steel units viz. NINL, Maithan Ispat Limited, Mid-East Limited, VISA Steel Limited have closed down their productions thus exists only nominal consumption for their utilities. Power supply to Maithan Ispat, Jabamayee Ferro Alloys and IMTC have been disconnected. </w:t>
      </w:r>
      <w:r w:rsidR="00A5197C" w:rsidRPr="003E3158">
        <w:rPr>
          <w:rFonts w:ascii="Cambria" w:hAnsi="Cambria" w:cs="Arial"/>
        </w:rPr>
        <w:t xml:space="preserve">Now </w:t>
      </w:r>
      <w:r w:rsidR="00B14EB2">
        <w:rPr>
          <w:rFonts w:ascii="Cambria" w:hAnsi="Cambria" w:cs="Arial"/>
        </w:rPr>
        <w:t xml:space="preserve">three </w:t>
      </w:r>
      <w:r w:rsidR="00A5197C" w:rsidRPr="003E3158">
        <w:rPr>
          <w:rFonts w:ascii="Cambria" w:hAnsi="Cambria" w:cs="Arial"/>
        </w:rPr>
        <w:t xml:space="preserve">industries are availing </w:t>
      </w:r>
      <w:r w:rsidR="00CA6493" w:rsidRPr="003E3158">
        <w:rPr>
          <w:rFonts w:ascii="Cambria" w:hAnsi="Cambria" w:cs="Arial"/>
        </w:rPr>
        <w:t xml:space="preserve">power supply under </w:t>
      </w:r>
      <w:r w:rsidR="00A5197C" w:rsidRPr="003E3158">
        <w:rPr>
          <w:rFonts w:ascii="Cambria" w:hAnsi="Cambria" w:cs="Arial"/>
        </w:rPr>
        <w:t xml:space="preserve">emergency </w:t>
      </w:r>
      <w:r w:rsidR="00CA6493" w:rsidRPr="003E3158">
        <w:rPr>
          <w:rFonts w:ascii="Cambria" w:hAnsi="Cambria" w:cs="Arial"/>
        </w:rPr>
        <w:t xml:space="preserve">category </w:t>
      </w:r>
      <w:r w:rsidR="00A5197C" w:rsidRPr="003E3158">
        <w:rPr>
          <w:rFonts w:ascii="Cambria" w:hAnsi="Cambria" w:cs="Arial"/>
        </w:rPr>
        <w:t>where demand charges</w:t>
      </w:r>
      <w:r w:rsidR="00CA6493" w:rsidRPr="003E3158">
        <w:rPr>
          <w:rFonts w:ascii="Cambria" w:hAnsi="Cambria" w:cs="Arial"/>
        </w:rPr>
        <w:t xml:space="preserve"> is not applicable</w:t>
      </w:r>
      <w:r w:rsidR="00A5197C" w:rsidRPr="003E3158">
        <w:rPr>
          <w:rFonts w:ascii="Cambria" w:hAnsi="Cambria" w:cs="Arial"/>
        </w:rPr>
        <w:t xml:space="preserve">. Considering the actual </w:t>
      </w:r>
      <w:r w:rsidR="007F4273" w:rsidRPr="003E3158">
        <w:rPr>
          <w:rFonts w:ascii="Cambria" w:hAnsi="Cambria" w:cs="Arial"/>
        </w:rPr>
        <w:t xml:space="preserve">drawl </w:t>
      </w:r>
      <w:r w:rsidR="00A5197C" w:rsidRPr="003E3158">
        <w:rPr>
          <w:rFonts w:ascii="Cambria" w:hAnsi="Cambria" w:cs="Arial"/>
        </w:rPr>
        <w:t xml:space="preserve">till September </w:t>
      </w:r>
      <w:r w:rsidR="00B07298" w:rsidRPr="003E3158">
        <w:rPr>
          <w:rFonts w:ascii="Cambria" w:hAnsi="Cambria" w:cs="Arial"/>
        </w:rPr>
        <w:t>201</w:t>
      </w:r>
      <w:r w:rsidR="0043427D">
        <w:rPr>
          <w:rFonts w:ascii="Cambria" w:hAnsi="Cambria" w:cs="Arial"/>
        </w:rPr>
        <w:t>9</w:t>
      </w:r>
      <w:r w:rsidR="00726C37">
        <w:rPr>
          <w:rFonts w:ascii="Cambria" w:hAnsi="Cambria" w:cs="Arial"/>
        </w:rPr>
        <w:t xml:space="preserve"> and</w:t>
      </w:r>
      <w:r w:rsidR="00A5197C" w:rsidRPr="003E3158">
        <w:rPr>
          <w:rFonts w:ascii="Cambria" w:hAnsi="Cambria" w:cs="Arial"/>
        </w:rPr>
        <w:t xml:space="preserve"> the </w:t>
      </w:r>
      <w:r w:rsidR="006C38E9" w:rsidRPr="003E3158">
        <w:rPr>
          <w:rFonts w:ascii="Cambria" w:hAnsi="Cambria" w:cs="Arial"/>
        </w:rPr>
        <w:t>Utility</w:t>
      </w:r>
      <w:r w:rsidR="00A5197C" w:rsidRPr="003E3158">
        <w:rPr>
          <w:rFonts w:ascii="Cambria" w:hAnsi="Cambria" w:cs="Arial"/>
        </w:rPr>
        <w:t xml:space="preserve"> has estimated distribution loss of </w:t>
      </w:r>
      <w:r w:rsidR="00B14EB2">
        <w:rPr>
          <w:rFonts w:ascii="Cambria" w:hAnsi="Cambria" w:cs="Arial"/>
        </w:rPr>
        <w:t>18.60% for FY 2020-21</w:t>
      </w:r>
      <w:r w:rsidR="003E3158" w:rsidRPr="003E3158">
        <w:rPr>
          <w:rFonts w:ascii="Cambria" w:hAnsi="Cambria" w:cs="Arial"/>
        </w:rPr>
        <w:t>,</w:t>
      </w:r>
      <w:r w:rsidR="00A5197C" w:rsidRPr="003E3158">
        <w:rPr>
          <w:rFonts w:ascii="Cambria" w:hAnsi="Cambria" w:cs="Arial"/>
        </w:rPr>
        <w:t xml:space="preserve"> which reflects a reduction of </w:t>
      </w:r>
      <w:r w:rsidR="00B14EB2">
        <w:rPr>
          <w:rFonts w:ascii="Cambria" w:hAnsi="Cambria" w:cs="Arial"/>
        </w:rPr>
        <w:t xml:space="preserve">0.10 </w:t>
      </w:r>
      <w:r w:rsidR="00A5197C" w:rsidRPr="003E3158">
        <w:rPr>
          <w:rFonts w:ascii="Cambria" w:hAnsi="Cambria" w:cs="Arial"/>
        </w:rPr>
        <w:t xml:space="preserve">% over the </w:t>
      </w:r>
      <w:r w:rsidR="00B73EF1" w:rsidRPr="003E3158">
        <w:rPr>
          <w:rFonts w:ascii="Cambria" w:hAnsi="Cambria" w:cs="Arial"/>
        </w:rPr>
        <w:t xml:space="preserve">current </w:t>
      </w:r>
      <w:r w:rsidR="00A5197C" w:rsidRPr="003E3158">
        <w:rPr>
          <w:rFonts w:ascii="Cambria" w:hAnsi="Cambria" w:cs="Arial"/>
        </w:rPr>
        <w:t xml:space="preserve">year. It is worthwhile to mention that </w:t>
      </w:r>
      <w:r w:rsidR="006B089A">
        <w:rPr>
          <w:rFonts w:ascii="Cambria" w:hAnsi="Cambria" w:cs="Arial"/>
        </w:rPr>
        <w:t xml:space="preserve">as there are large number of consumers added </w:t>
      </w:r>
      <w:r w:rsidR="00A5197C" w:rsidRPr="003E3158">
        <w:rPr>
          <w:rFonts w:ascii="Cambria" w:hAnsi="Cambria" w:cs="Arial"/>
        </w:rPr>
        <w:t xml:space="preserve">in the subsidized category </w:t>
      </w:r>
      <w:r w:rsidR="00174782" w:rsidRPr="003E3158">
        <w:rPr>
          <w:rFonts w:ascii="Cambria" w:hAnsi="Cambria" w:cs="Arial"/>
        </w:rPr>
        <w:t>on account of various village electrification schemes of the Govt</w:t>
      </w:r>
      <w:r w:rsidR="00A5197C" w:rsidRPr="003E3158">
        <w:rPr>
          <w:rFonts w:ascii="Cambria" w:hAnsi="Cambria" w:cs="Arial"/>
        </w:rPr>
        <w:t xml:space="preserve">. </w:t>
      </w:r>
      <w:r w:rsidR="003E3158" w:rsidRPr="003E3158">
        <w:rPr>
          <w:rFonts w:ascii="Cambria" w:hAnsi="Cambria" w:cs="Arial"/>
        </w:rPr>
        <w:t>N</w:t>
      </w:r>
      <w:r w:rsidR="00A5197C" w:rsidRPr="003E3158">
        <w:rPr>
          <w:rFonts w:ascii="Cambria" w:hAnsi="Cambria" w:cs="Arial"/>
        </w:rPr>
        <w:t xml:space="preserve">ESCO has proposed to reduce the AT &amp; C loss by </w:t>
      </w:r>
      <w:r w:rsidR="006B089A">
        <w:rPr>
          <w:rFonts w:ascii="Cambria" w:hAnsi="Cambria" w:cs="Arial"/>
        </w:rPr>
        <w:t>0.91% during FY 2020-21</w:t>
      </w:r>
      <w:r w:rsidR="00A5197C" w:rsidRPr="003E3158">
        <w:rPr>
          <w:rFonts w:ascii="Cambria" w:hAnsi="Cambria" w:cs="Arial"/>
        </w:rPr>
        <w:t>, the distribution loss target of 1</w:t>
      </w:r>
      <w:r w:rsidR="003E3158" w:rsidRPr="003E3158">
        <w:rPr>
          <w:rFonts w:ascii="Cambria" w:hAnsi="Cambria" w:cs="Arial"/>
        </w:rPr>
        <w:t>8.35</w:t>
      </w:r>
      <w:r w:rsidR="00A5197C" w:rsidRPr="003E3158">
        <w:rPr>
          <w:rFonts w:ascii="Cambria" w:hAnsi="Cambria" w:cs="Arial"/>
        </w:rPr>
        <w:t xml:space="preserve">% </w:t>
      </w:r>
      <w:r w:rsidR="006B089A">
        <w:rPr>
          <w:rFonts w:ascii="Cambria" w:hAnsi="Cambria" w:cs="Arial"/>
        </w:rPr>
        <w:t xml:space="preserve">and AT &amp; C Loss target of 19.17 % </w:t>
      </w:r>
      <w:r w:rsidR="00A5197C" w:rsidRPr="003E3158">
        <w:rPr>
          <w:rFonts w:ascii="Cambria" w:hAnsi="Cambria" w:cs="Arial"/>
        </w:rPr>
        <w:t xml:space="preserve">as approved by the Commission </w:t>
      </w:r>
      <w:r w:rsidR="00726C37">
        <w:rPr>
          <w:rFonts w:ascii="Cambria" w:hAnsi="Cambria" w:cs="Arial"/>
        </w:rPr>
        <w:t xml:space="preserve">is not achievable </w:t>
      </w:r>
      <w:r w:rsidR="00A5197C" w:rsidRPr="003E3158">
        <w:rPr>
          <w:rFonts w:ascii="Cambria" w:hAnsi="Cambria" w:cs="Arial"/>
        </w:rPr>
        <w:t>due to several uncontrollable factors.</w:t>
      </w:r>
    </w:p>
    <w:p w:rsidR="003012C6" w:rsidRPr="00BF0E9D" w:rsidRDefault="003012C6" w:rsidP="003012C6">
      <w:pPr>
        <w:pStyle w:val="Heading1"/>
        <w:numPr>
          <w:ilvl w:val="1"/>
          <w:numId w:val="1"/>
        </w:numPr>
        <w:spacing w:line="360" w:lineRule="auto"/>
        <w:jc w:val="both"/>
        <w:rPr>
          <w:rFonts w:ascii="Cambria" w:hAnsi="Cambria"/>
          <w:sz w:val="24"/>
          <w:szCs w:val="24"/>
        </w:rPr>
      </w:pPr>
      <w:bookmarkStart w:id="2" w:name="_Toc25850907"/>
      <w:r w:rsidRPr="00BF0E9D">
        <w:rPr>
          <w:rFonts w:ascii="Cambria" w:hAnsi="Cambria"/>
          <w:sz w:val="24"/>
          <w:szCs w:val="24"/>
        </w:rPr>
        <w:t>Data Sources</w:t>
      </w:r>
      <w:bookmarkEnd w:id="2"/>
    </w:p>
    <w:p w:rsidR="003012C6" w:rsidRPr="000C2942" w:rsidRDefault="003012C6" w:rsidP="003012C6">
      <w:pPr>
        <w:pStyle w:val="ARR-normalbody"/>
        <w:ind w:left="0"/>
        <w:rPr>
          <w:rFonts w:ascii="Cambria" w:hAnsi="Cambria"/>
          <w:sz w:val="24"/>
          <w:szCs w:val="24"/>
          <w:lang w:val="en-US"/>
        </w:rPr>
      </w:pPr>
      <w:r w:rsidRPr="000C2942">
        <w:rPr>
          <w:rFonts w:ascii="Cambria" w:hAnsi="Cambria"/>
          <w:sz w:val="24"/>
          <w:szCs w:val="24"/>
          <w:lang w:val="en-US"/>
        </w:rPr>
        <w:t xml:space="preserve">The </w:t>
      </w:r>
      <w:r w:rsidR="006C38E9">
        <w:rPr>
          <w:rFonts w:ascii="Cambria" w:hAnsi="Cambria"/>
          <w:sz w:val="24"/>
          <w:szCs w:val="24"/>
          <w:lang w:val="en-US"/>
        </w:rPr>
        <w:t>Utility</w:t>
      </w:r>
      <w:r w:rsidRPr="000C2942">
        <w:rPr>
          <w:rFonts w:ascii="Cambria" w:hAnsi="Cambria"/>
          <w:sz w:val="24"/>
          <w:szCs w:val="24"/>
          <w:lang w:val="en-US"/>
        </w:rPr>
        <w:t xml:space="preserve"> is complying with the information requirements of the Hon’ble Commission for the purpose of making this application for annu</w:t>
      </w:r>
      <w:r w:rsidR="00EA781B">
        <w:rPr>
          <w:rFonts w:ascii="Cambria" w:hAnsi="Cambria"/>
          <w:sz w:val="24"/>
          <w:szCs w:val="24"/>
          <w:lang w:val="en-US"/>
        </w:rPr>
        <w:t>a</w:t>
      </w:r>
      <w:r w:rsidRPr="000C2942">
        <w:rPr>
          <w:rFonts w:ascii="Cambria" w:hAnsi="Cambria"/>
          <w:sz w:val="24"/>
          <w:szCs w:val="24"/>
          <w:lang w:val="en-US"/>
        </w:rPr>
        <w:t>l revenue require</w:t>
      </w:r>
      <w:r w:rsidR="006B089A">
        <w:rPr>
          <w:rFonts w:ascii="Cambria" w:hAnsi="Cambria"/>
          <w:sz w:val="24"/>
          <w:szCs w:val="24"/>
          <w:lang w:val="en-US"/>
        </w:rPr>
        <w:t>ment and tariff for the year 2020</w:t>
      </w:r>
      <w:r w:rsidRPr="000C2942">
        <w:rPr>
          <w:rFonts w:ascii="Cambria" w:hAnsi="Cambria"/>
          <w:sz w:val="24"/>
          <w:szCs w:val="24"/>
          <w:lang w:val="en-US"/>
        </w:rPr>
        <w:t>-</w:t>
      </w:r>
      <w:r w:rsidR="006B089A">
        <w:rPr>
          <w:rFonts w:ascii="Cambria" w:hAnsi="Cambria"/>
          <w:sz w:val="24"/>
          <w:szCs w:val="24"/>
          <w:lang w:val="en-US"/>
        </w:rPr>
        <w:t>21</w:t>
      </w:r>
      <w:r w:rsidRPr="000C2942">
        <w:rPr>
          <w:rFonts w:ascii="Cambria" w:hAnsi="Cambria"/>
          <w:sz w:val="24"/>
          <w:szCs w:val="24"/>
          <w:lang w:val="en-US"/>
        </w:rPr>
        <w:t xml:space="preserve">. The schedule of formats submitted along with this proposal is shown in the Table of Contents. The </w:t>
      </w:r>
      <w:r w:rsidR="003B77F5">
        <w:rPr>
          <w:rFonts w:ascii="Cambria" w:hAnsi="Cambria"/>
          <w:sz w:val="24"/>
          <w:szCs w:val="24"/>
          <w:lang w:val="en-US"/>
        </w:rPr>
        <w:t>Audited</w:t>
      </w:r>
      <w:r w:rsidR="00EA781B">
        <w:rPr>
          <w:rFonts w:ascii="Cambria" w:hAnsi="Cambria"/>
          <w:sz w:val="24"/>
          <w:szCs w:val="24"/>
          <w:lang w:val="en-US"/>
        </w:rPr>
        <w:t xml:space="preserve"> </w:t>
      </w:r>
      <w:r w:rsidRPr="000C2942">
        <w:rPr>
          <w:rFonts w:ascii="Cambria" w:hAnsi="Cambria"/>
          <w:sz w:val="24"/>
          <w:szCs w:val="24"/>
          <w:lang w:val="en-US"/>
        </w:rPr>
        <w:t>Accounts up to March 201</w:t>
      </w:r>
      <w:r w:rsidR="006B089A">
        <w:rPr>
          <w:rFonts w:ascii="Cambria" w:hAnsi="Cambria"/>
          <w:sz w:val="24"/>
          <w:szCs w:val="24"/>
          <w:lang w:val="en-US"/>
        </w:rPr>
        <w:t>9</w:t>
      </w:r>
      <w:r w:rsidRPr="000C2942">
        <w:rPr>
          <w:rFonts w:ascii="Cambria" w:hAnsi="Cambria"/>
          <w:sz w:val="24"/>
          <w:szCs w:val="24"/>
          <w:lang w:val="en-US"/>
        </w:rPr>
        <w:t xml:space="preserve"> have been </w:t>
      </w:r>
      <w:r w:rsidR="00590A76">
        <w:rPr>
          <w:rFonts w:ascii="Cambria" w:hAnsi="Cambria"/>
          <w:sz w:val="24"/>
          <w:szCs w:val="24"/>
          <w:lang w:val="en-US"/>
        </w:rPr>
        <w:t xml:space="preserve">prepared </w:t>
      </w:r>
      <w:r w:rsidRPr="000C2942">
        <w:rPr>
          <w:rFonts w:ascii="Cambria" w:hAnsi="Cambria"/>
          <w:sz w:val="24"/>
          <w:szCs w:val="24"/>
          <w:lang w:val="en-US"/>
        </w:rPr>
        <w:t xml:space="preserve">as per Companies Act </w:t>
      </w:r>
      <w:r w:rsidR="002C78F2">
        <w:rPr>
          <w:rFonts w:ascii="Cambria" w:hAnsi="Cambria"/>
          <w:sz w:val="24"/>
          <w:szCs w:val="24"/>
          <w:lang w:val="en-US"/>
        </w:rPr>
        <w:t>as well as financial formats prescribed by the Hon’ble Commission</w:t>
      </w:r>
      <w:r w:rsidR="003B77F5">
        <w:rPr>
          <w:rFonts w:ascii="Cambria" w:hAnsi="Cambria"/>
          <w:sz w:val="24"/>
          <w:szCs w:val="24"/>
          <w:lang w:val="en-US"/>
        </w:rPr>
        <w:t xml:space="preserve"> and the same has </w:t>
      </w:r>
      <w:r w:rsidR="002C4A15">
        <w:rPr>
          <w:rFonts w:ascii="Cambria" w:hAnsi="Cambria"/>
          <w:sz w:val="24"/>
          <w:szCs w:val="24"/>
          <w:lang w:val="en-US"/>
        </w:rPr>
        <w:t>already been submitted with the Hon’ble Commission</w:t>
      </w:r>
      <w:r w:rsidR="00073332">
        <w:rPr>
          <w:rFonts w:ascii="Cambria" w:hAnsi="Cambria"/>
          <w:sz w:val="24"/>
          <w:szCs w:val="24"/>
          <w:lang w:val="en-US"/>
        </w:rPr>
        <w:t xml:space="preserve">. </w:t>
      </w:r>
      <w:r w:rsidRPr="000C2942">
        <w:rPr>
          <w:rFonts w:ascii="Cambria" w:hAnsi="Cambria"/>
          <w:sz w:val="24"/>
          <w:szCs w:val="24"/>
          <w:lang w:val="en-US"/>
        </w:rPr>
        <w:t xml:space="preserve">The </w:t>
      </w:r>
      <w:r w:rsidR="006C38E9">
        <w:rPr>
          <w:rFonts w:ascii="Cambria" w:hAnsi="Cambria"/>
          <w:sz w:val="24"/>
          <w:szCs w:val="24"/>
          <w:lang w:val="en-US"/>
        </w:rPr>
        <w:t>Utility</w:t>
      </w:r>
      <w:r w:rsidRPr="000C2942">
        <w:rPr>
          <w:rFonts w:ascii="Cambria" w:hAnsi="Cambria"/>
          <w:sz w:val="24"/>
          <w:szCs w:val="24"/>
          <w:lang w:val="en-US"/>
        </w:rPr>
        <w:t xml:space="preserve"> has relied upon the </w:t>
      </w:r>
      <w:r w:rsidR="002C4A15">
        <w:rPr>
          <w:rFonts w:ascii="Cambria" w:hAnsi="Cambria"/>
          <w:sz w:val="24"/>
          <w:szCs w:val="24"/>
          <w:lang w:val="en-US"/>
        </w:rPr>
        <w:t>Audited</w:t>
      </w:r>
      <w:r w:rsidR="00073332">
        <w:rPr>
          <w:rFonts w:ascii="Cambria" w:hAnsi="Cambria"/>
          <w:sz w:val="24"/>
          <w:szCs w:val="24"/>
          <w:lang w:val="en-US"/>
        </w:rPr>
        <w:t xml:space="preserve"> </w:t>
      </w:r>
      <w:r w:rsidRPr="000C2942">
        <w:rPr>
          <w:rFonts w:ascii="Cambria" w:hAnsi="Cambria"/>
          <w:sz w:val="24"/>
          <w:szCs w:val="24"/>
          <w:lang w:val="en-US"/>
        </w:rPr>
        <w:t>Accounts up to March 201</w:t>
      </w:r>
      <w:r w:rsidR="006B089A">
        <w:rPr>
          <w:rFonts w:ascii="Cambria" w:hAnsi="Cambria"/>
          <w:sz w:val="24"/>
          <w:szCs w:val="24"/>
          <w:lang w:val="en-US"/>
        </w:rPr>
        <w:t>9</w:t>
      </w:r>
      <w:r w:rsidRPr="000C2942">
        <w:rPr>
          <w:rFonts w:ascii="Cambria" w:hAnsi="Cambria"/>
          <w:sz w:val="24"/>
          <w:szCs w:val="24"/>
          <w:lang w:val="en-US"/>
        </w:rPr>
        <w:t xml:space="preserve"> and actual data up to Sep-1</w:t>
      </w:r>
      <w:r w:rsidR="006B089A">
        <w:rPr>
          <w:rFonts w:ascii="Cambria" w:hAnsi="Cambria"/>
          <w:sz w:val="24"/>
          <w:szCs w:val="24"/>
          <w:lang w:val="en-US"/>
        </w:rPr>
        <w:t>9</w:t>
      </w:r>
      <w:r w:rsidRPr="000C2942">
        <w:rPr>
          <w:rFonts w:ascii="Cambria" w:hAnsi="Cambria"/>
          <w:sz w:val="24"/>
          <w:szCs w:val="24"/>
          <w:lang w:val="en-US"/>
        </w:rPr>
        <w:t xml:space="preserve"> for compilation of data and preparation of this ARR.</w:t>
      </w:r>
      <w:r w:rsidR="00D909AC">
        <w:rPr>
          <w:rFonts w:ascii="Cambria" w:hAnsi="Cambria"/>
          <w:sz w:val="24"/>
          <w:szCs w:val="24"/>
          <w:lang w:val="en-US"/>
        </w:rPr>
        <w:t xml:space="preserve"> </w:t>
      </w:r>
    </w:p>
    <w:p w:rsidR="003012C6" w:rsidRPr="000C2942" w:rsidRDefault="003012C6" w:rsidP="003012C6">
      <w:pPr>
        <w:pStyle w:val="ARR-normalbody"/>
        <w:ind w:left="0"/>
        <w:rPr>
          <w:rFonts w:ascii="Cambria" w:hAnsi="Cambria"/>
          <w:sz w:val="24"/>
          <w:szCs w:val="24"/>
          <w:lang w:val="en-US"/>
        </w:rPr>
      </w:pPr>
      <w:r w:rsidRPr="000C2942">
        <w:rPr>
          <w:rFonts w:ascii="Cambria" w:hAnsi="Cambria"/>
          <w:sz w:val="24"/>
          <w:szCs w:val="24"/>
          <w:lang w:val="en-US"/>
        </w:rPr>
        <w:t xml:space="preserve">The </w:t>
      </w:r>
      <w:r w:rsidR="006C38E9">
        <w:rPr>
          <w:rFonts w:ascii="Cambria" w:hAnsi="Cambria"/>
          <w:sz w:val="24"/>
          <w:szCs w:val="24"/>
          <w:lang w:val="en-US"/>
        </w:rPr>
        <w:t>Utility</w:t>
      </w:r>
      <w:r w:rsidRPr="000C2942">
        <w:rPr>
          <w:rFonts w:ascii="Cambria" w:hAnsi="Cambria"/>
          <w:sz w:val="24"/>
          <w:szCs w:val="24"/>
          <w:lang w:val="en-US"/>
        </w:rPr>
        <w:t xml:space="preserve"> would like to submit that the input cost is the most important cost </w:t>
      </w:r>
      <w:r w:rsidR="00756969">
        <w:rPr>
          <w:rFonts w:ascii="Cambria" w:hAnsi="Cambria"/>
          <w:sz w:val="24"/>
          <w:szCs w:val="24"/>
          <w:lang w:val="en-US"/>
        </w:rPr>
        <w:t xml:space="preserve">element </w:t>
      </w:r>
      <w:r w:rsidRPr="000C2942">
        <w:rPr>
          <w:rFonts w:ascii="Cambria" w:hAnsi="Cambria"/>
          <w:sz w:val="24"/>
          <w:szCs w:val="24"/>
          <w:lang w:val="en-US"/>
        </w:rPr>
        <w:t xml:space="preserve">for </w:t>
      </w:r>
      <w:r w:rsidR="00756969">
        <w:rPr>
          <w:rFonts w:ascii="Cambria" w:hAnsi="Cambria"/>
          <w:sz w:val="24"/>
          <w:szCs w:val="24"/>
          <w:lang w:val="en-US"/>
        </w:rPr>
        <w:t>distribution business</w:t>
      </w:r>
      <w:r w:rsidRPr="000C2942">
        <w:rPr>
          <w:rFonts w:ascii="Cambria" w:hAnsi="Cambria"/>
          <w:sz w:val="24"/>
          <w:szCs w:val="24"/>
          <w:lang w:val="en-US"/>
        </w:rPr>
        <w:t xml:space="preserve">. For authentication of input cost, the </w:t>
      </w:r>
      <w:r>
        <w:rPr>
          <w:rFonts w:ascii="Cambria" w:hAnsi="Cambria"/>
          <w:sz w:val="24"/>
          <w:szCs w:val="24"/>
          <w:lang w:val="en-US"/>
        </w:rPr>
        <w:t>BSP</w:t>
      </w:r>
      <w:r w:rsidRPr="000C2942">
        <w:rPr>
          <w:rFonts w:ascii="Cambria" w:hAnsi="Cambria"/>
          <w:sz w:val="24"/>
          <w:szCs w:val="24"/>
          <w:lang w:val="en-US"/>
        </w:rPr>
        <w:t xml:space="preserve"> bills</w:t>
      </w:r>
      <w:r>
        <w:rPr>
          <w:rFonts w:ascii="Cambria" w:hAnsi="Cambria"/>
          <w:sz w:val="24"/>
          <w:szCs w:val="24"/>
          <w:lang w:val="en-US"/>
        </w:rPr>
        <w:t xml:space="preserve"> on the basis of scheduled energy</w:t>
      </w:r>
      <w:r w:rsidRPr="000C2942">
        <w:rPr>
          <w:rFonts w:ascii="Cambria" w:hAnsi="Cambria"/>
          <w:sz w:val="24"/>
          <w:szCs w:val="24"/>
          <w:lang w:val="en-US"/>
        </w:rPr>
        <w:t xml:space="preserve"> received from the bulk supplier, GRIDCO</w:t>
      </w:r>
      <w:r>
        <w:rPr>
          <w:rFonts w:ascii="Cambria" w:hAnsi="Cambria"/>
          <w:sz w:val="24"/>
          <w:szCs w:val="24"/>
          <w:lang w:val="en-US"/>
        </w:rPr>
        <w:t>, Transmission Charges on the basis of actual energy received from OPTCL, SLDC charges received from SLDC</w:t>
      </w:r>
      <w:r w:rsidR="00D909AC">
        <w:rPr>
          <w:rFonts w:ascii="Cambria" w:hAnsi="Cambria"/>
          <w:sz w:val="24"/>
          <w:szCs w:val="24"/>
          <w:lang w:val="en-US"/>
        </w:rPr>
        <w:t xml:space="preserve">. </w:t>
      </w:r>
    </w:p>
    <w:p w:rsidR="003012C6" w:rsidRPr="000C2942" w:rsidRDefault="003012C6" w:rsidP="003012C6">
      <w:pPr>
        <w:pStyle w:val="BodyText2"/>
        <w:spacing w:line="360" w:lineRule="auto"/>
        <w:jc w:val="both"/>
        <w:rPr>
          <w:rFonts w:ascii="Cambria" w:hAnsi="Cambria" w:cs="Arial"/>
          <w:sz w:val="24"/>
          <w:szCs w:val="24"/>
        </w:rPr>
      </w:pPr>
      <w:r w:rsidRPr="000C2942">
        <w:rPr>
          <w:rFonts w:ascii="Cambria" w:hAnsi="Cambria" w:cs="Arial"/>
          <w:sz w:val="24"/>
          <w:szCs w:val="24"/>
        </w:rPr>
        <w:t xml:space="preserve">Thus, the </w:t>
      </w:r>
      <w:r w:rsidR="006C38E9">
        <w:rPr>
          <w:rFonts w:ascii="Cambria" w:hAnsi="Cambria" w:cs="Arial"/>
          <w:sz w:val="24"/>
          <w:szCs w:val="24"/>
        </w:rPr>
        <w:t>Utility</w:t>
      </w:r>
      <w:r w:rsidRPr="000C2942">
        <w:rPr>
          <w:rFonts w:ascii="Cambria" w:hAnsi="Cambria" w:cs="Arial"/>
          <w:sz w:val="24"/>
          <w:szCs w:val="24"/>
        </w:rPr>
        <w:t xml:space="preserve"> submit</w:t>
      </w:r>
      <w:r w:rsidR="007C50C6">
        <w:rPr>
          <w:rFonts w:ascii="Cambria" w:hAnsi="Cambria" w:cs="Arial"/>
          <w:sz w:val="24"/>
          <w:szCs w:val="24"/>
        </w:rPr>
        <w:t>s</w:t>
      </w:r>
      <w:r w:rsidRPr="000C2942">
        <w:rPr>
          <w:rFonts w:ascii="Cambria" w:hAnsi="Cambria" w:cs="Arial"/>
          <w:sz w:val="24"/>
          <w:szCs w:val="24"/>
        </w:rPr>
        <w:t xml:space="preserve"> that the data given is authentic and reliable for formulation of Revenue Requirement and Tar</w:t>
      </w:r>
      <w:r w:rsidR="006F65B1">
        <w:rPr>
          <w:rFonts w:ascii="Cambria" w:hAnsi="Cambria" w:cs="Arial"/>
          <w:sz w:val="24"/>
          <w:szCs w:val="24"/>
        </w:rPr>
        <w:t>iff Application for the year 2020</w:t>
      </w:r>
      <w:r w:rsidR="00DB454F">
        <w:rPr>
          <w:rFonts w:ascii="Cambria" w:hAnsi="Cambria" w:cs="Arial"/>
          <w:sz w:val="24"/>
          <w:szCs w:val="24"/>
        </w:rPr>
        <w:t>-</w:t>
      </w:r>
      <w:r w:rsidR="006F65B1">
        <w:rPr>
          <w:rFonts w:ascii="Cambria" w:hAnsi="Cambria" w:cs="Arial"/>
          <w:sz w:val="24"/>
          <w:szCs w:val="24"/>
        </w:rPr>
        <w:t>21</w:t>
      </w:r>
      <w:r w:rsidRPr="000C2942">
        <w:rPr>
          <w:rFonts w:ascii="Cambria" w:hAnsi="Cambria" w:cs="Arial"/>
          <w:sz w:val="24"/>
          <w:szCs w:val="24"/>
        </w:rPr>
        <w:t>.</w:t>
      </w:r>
    </w:p>
    <w:p w:rsidR="004276A0" w:rsidRPr="00BF0E9D" w:rsidRDefault="004276A0" w:rsidP="004276A0">
      <w:pPr>
        <w:pStyle w:val="Heading1"/>
        <w:numPr>
          <w:ilvl w:val="1"/>
          <w:numId w:val="1"/>
        </w:numPr>
        <w:spacing w:line="360" w:lineRule="auto"/>
        <w:jc w:val="both"/>
        <w:rPr>
          <w:rFonts w:ascii="Cambria" w:hAnsi="Cambria"/>
          <w:sz w:val="24"/>
          <w:szCs w:val="24"/>
        </w:rPr>
      </w:pPr>
      <w:bookmarkStart w:id="3" w:name="_Toc25850908"/>
      <w:r w:rsidRPr="00BF0E9D">
        <w:rPr>
          <w:rFonts w:ascii="Cambria" w:hAnsi="Cambria"/>
          <w:sz w:val="24"/>
          <w:szCs w:val="24"/>
        </w:rPr>
        <w:lastRenderedPageBreak/>
        <w:t>Sales Forecast</w:t>
      </w:r>
      <w:bookmarkEnd w:id="3"/>
    </w:p>
    <w:p w:rsidR="004276A0" w:rsidRDefault="004276A0" w:rsidP="00C77FA8">
      <w:pPr>
        <w:pStyle w:val="BodyText2"/>
        <w:spacing w:line="360" w:lineRule="auto"/>
        <w:jc w:val="both"/>
        <w:rPr>
          <w:rFonts w:ascii="Cambria" w:hAnsi="Cambria"/>
          <w:sz w:val="24"/>
          <w:szCs w:val="24"/>
        </w:rPr>
      </w:pPr>
      <w:r w:rsidRPr="003E3158">
        <w:rPr>
          <w:rFonts w:ascii="Cambria" w:hAnsi="Cambria"/>
          <w:sz w:val="24"/>
          <w:szCs w:val="24"/>
        </w:rPr>
        <w:t xml:space="preserve">For projecting the consumption of different categories, the </w:t>
      </w:r>
      <w:r w:rsidR="006C38E9" w:rsidRPr="003E3158">
        <w:rPr>
          <w:rFonts w:ascii="Cambria" w:hAnsi="Cambria"/>
          <w:sz w:val="24"/>
          <w:szCs w:val="24"/>
        </w:rPr>
        <w:t>Utility</w:t>
      </w:r>
      <w:r w:rsidRPr="003E3158">
        <w:rPr>
          <w:rFonts w:ascii="Cambria" w:hAnsi="Cambria"/>
          <w:sz w:val="24"/>
          <w:szCs w:val="24"/>
        </w:rPr>
        <w:t xml:space="preserve"> has </w:t>
      </w:r>
      <w:r w:rsidR="00384CBC" w:rsidRPr="003E3158">
        <w:rPr>
          <w:rFonts w:ascii="Cambria" w:hAnsi="Cambria"/>
          <w:sz w:val="24"/>
          <w:szCs w:val="24"/>
        </w:rPr>
        <w:t>analyses</w:t>
      </w:r>
      <w:r w:rsidR="007C50C6" w:rsidRPr="003E3158">
        <w:rPr>
          <w:rFonts w:ascii="Cambria" w:hAnsi="Cambria"/>
          <w:sz w:val="24"/>
          <w:szCs w:val="24"/>
        </w:rPr>
        <w:t xml:space="preserve"> and relied on</w:t>
      </w:r>
      <w:r w:rsidRPr="003E3158">
        <w:rPr>
          <w:rFonts w:ascii="Cambria" w:hAnsi="Cambria"/>
          <w:sz w:val="24"/>
          <w:szCs w:val="24"/>
        </w:rPr>
        <w:t xml:space="preserve"> the past trends of consumption pattern for last </w:t>
      </w:r>
      <w:r w:rsidR="006F65B1">
        <w:rPr>
          <w:rFonts w:ascii="Cambria" w:hAnsi="Cambria"/>
          <w:sz w:val="24"/>
          <w:szCs w:val="24"/>
        </w:rPr>
        <w:t>twelve</w:t>
      </w:r>
      <w:r w:rsidR="00B31FDF" w:rsidRPr="003E3158">
        <w:rPr>
          <w:rFonts w:ascii="Cambria" w:hAnsi="Cambria"/>
          <w:sz w:val="24"/>
          <w:szCs w:val="24"/>
        </w:rPr>
        <w:t xml:space="preserve"> </w:t>
      </w:r>
      <w:r w:rsidR="006F65B1">
        <w:rPr>
          <w:rFonts w:ascii="Cambria" w:hAnsi="Cambria"/>
          <w:sz w:val="24"/>
          <w:szCs w:val="24"/>
        </w:rPr>
        <w:t>years i.e. FY 2007-2008</w:t>
      </w:r>
      <w:r w:rsidRPr="003E3158">
        <w:rPr>
          <w:rFonts w:ascii="Cambria" w:hAnsi="Cambria"/>
          <w:sz w:val="24"/>
          <w:szCs w:val="24"/>
        </w:rPr>
        <w:t xml:space="preserve"> to FY 201</w:t>
      </w:r>
      <w:r w:rsidR="006F65B1">
        <w:rPr>
          <w:rFonts w:ascii="Cambria" w:hAnsi="Cambria"/>
          <w:sz w:val="24"/>
          <w:szCs w:val="24"/>
        </w:rPr>
        <w:t>8</w:t>
      </w:r>
      <w:r w:rsidRPr="003E3158">
        <w:rPr>
          <w:rFonts w:ascii="Cambria" w:hAnsi="Cambria"/>
          <w:sz w:val="24"/>
          <w:szCs w:val="24"/>
        </w:rPr>
        <w:t>-1</w:t>
      </w:r>
      <w:r w:rsidR="006F65B1">
        <w:rPr>
          <w:rFonts w:ascii="Cambria" w:hAnsi="Cambria"/>
          <w:sz w:val="24"/>
          <w:szCs w:val="24"/>
        </w:rPr>
        <w:t>9</w:t>
      </w:r>
      <w:r w:rsidRPr="003E3158">
        <w:rPr>
          <w:rFonts w:ascii="Cambria" w:hAnsi="Cambria"/>
          <w:sz w:val="24"/>
          <w:szCs w:val="24"/>
        </w:rPr>
        <w:t xml:space="preserve"> and actual sales data for the first six months of FY 201</w:t>
      </w:r>
      <w:r w:rsidR="006F65B1">
        <w:rPr>
          <w:rFonts w:ascii="Cambria" w:hAnsi="Cambria"/>
          <w:sz w:val="24"/>
          <w:szCs w:val="24"/>
        </w:rPr>
        <w:t>9-20</w:t>
      </w:r>
      <w:r w:rsidR="007C50C6" w:rsidRPr="003E3158">
        <w:rPr>
          <w:rFonts w:ascii="Cambria" w:hAnsi="Cambria"/>
          <w:sz w:val="24"/>
          <w:szCs w:val="24"/>
        </w:rPr>
        <w:t>,</w:t>
      </w:r>
      <w:r w:rsidRPr="003E3158">
        <w:rPr>
          <w:rFonts w:ascii="Cambria" w:hAnsi="Cambria"/>
          <w:sz w:val="24"/>
          <w:szCs w:val="24"/>
        </w:rPr>
        <w:t xml:space="preserve"> the impact of electrification of new villages under the </w:t>
      </w:r>
      <w:r w:rsidR="00B31FDF" w:rsidRPr="003E3158">
        <w:rPr>
          <w:rFonts w:ascii="Cambria" w:hAnsi="Cambria"/>
          <w:sz w:val="24"/>
          <w:szCs w:val="24"/>
        </w:rPr>
        <w:t xml:space="preserve">DDUGJY, </w:t>
      </w:r>
      <w:r w:rsidR="002C4A15">
        <w:rPr>
          <w:rFonts w:ascii="Cambria" w:hAnsi="Cambria"/>
          <w:sz w:val="24"/>
          <w:szCs w:val="24"/>
        </w:rPr>
        <w:t>RGGVY, Biju S</w:t>
      </w:r>
      <w:r w:rsidRPr="003E3158">
        <w:rPr>
          <w:rFonts w:ascii="Cambria" w:hAnsi="Cambria"/>
          <w:sz w:val="24"/>
          <w:szCs w:val="24"/>
        </w:rPr>
        <w:t>aharanchal</w:t>
      </w:r>
      <w:r w:rsidR="002C4A15">
        <w:rPr>
          <w:rFonts w:ascii="Cambria" w:hAnsi="Cambria"/>
          <w:sz w:val="24"/>
          <w:szCs w:val="24"/>
        </w:rPr>
        <w:t xml:space="preserve"> V</w:t>
      </w:r>
      <w:r w:rsidR="00756969" w:rsidRPr="003E3158">
        <w:rPr>
          <w:rFonts w:ascii="Cambria" w:hAnsi="Cambria"/>
          <w:sz w:val="24"/>
          <w:szCs w:val="24"/>
        </w:rPr>
        <w:t xml:space="preserve">idyut </w:t>
      </w:r>
      <w:r w:rsidR="002C4A15">
        <w:rPr>
          <w:rFonts w:ascii="Cambria" w:hAnsi="Cambria"/>
          <w:sz w:val="24"/>
          <w:szCs w:val="24"/>
        </w:rPr>
        <w:t>Y</w:t>
      </w:r>
      <w:r w:rsidR="00756969" w:rsidRPr="003E3158">
        <w:rPr>
          <w:rFonts w:ascii="Cambria" w:hAnsi="Cambria"/>
          <w:sz w:val="24"/>
          <w:szCs w:val="24"/>
        </w:rPr>
        <w:t xml:space="preserve">ojana </w:t>
      </w:r>
      <w:r w:rsidR="00073332" w:rsidRPr="003E3158">
        <w:rPr>
          <w:rFonts w:ascii="Cambria" w:hAnsi="Cambria"/>
          <w:sz w:val="24"/>
          <w:szCs w:val="24"/>
        </w:rPr>
        <w:t xml:space="preserve"> and Biju Grama Jyoti Yojana, </w:t>
      </w:r>
      <w:r w:rsidRPr="003E3158">
        <w:rPr>
          <w:rFonts w:ascii="Cambria" w:hAnsi="Cambria"/>
          <w:sz w:val="24"/>
          <w:szCs w:val="24"/>
        </w:rPr>
        <w:t xml:space="preserve"> </w:t>
      </w:r>
      <w:r w:rsidR="00B31FDF" w:rsidRPr="003E3158">
        <w:rPr>
          <w:rFonts w:ascii="Cambria" w:hAnsi="Cambria"/>
          <w:sz w:val="24"/>
          <w:szCs w:val="24"/>
        </w:rPr>
        <w:t xml:space="preserve">SAUBHAGYA, </w:t>
      </w:r>
      <w:r w:rsidRPr="003E3158">
        <w:rPr>
          <w:rFonts w:ascii="Cambria" w:hAnsi="Cambria"/>
          <w:sz w:val="24"/>
          <w:szCs w:val="24"/>
        </w:rPr>
        <w:t>actual addition</w:t>
      </w:r>
      <w:r w:rsidR="00073332" w:rsidRPr="003E3158">
        <w:rPr>
          <w:rFonts w:ascii="Cambria" w:hAnsi="Cambria"/>
          <w:sz w:val="24"/>
          <w:szCs w:val="24"/>
        </w:rPr>
        <w:t>/reduction</w:t>
      </w:r>
      <w:r w:rsidRPr="003E3158">
        <w:rPr>
          <w:rFonts w:ascii="Cambria" w:hAnsi="Cambria"/>
          <w:sz w:val="24"/>
          <w:szCs w:val="24"/>
        </w:rPr>
        <w:t xml:space="preserve"> of loads and other factors such as global recession</w:t>
      </w:r>
      <w:r w:rsidR="003E3158" w:rsidRPr="003E3158">
        <w:rPr>
          <w:rFonts w:ascii="Cambria" w:hAnsi="Cambria"/>
          <w:sz w:val="24"/>
          <w:szCs w:val="24"/>
        </w:rPr>
        <w:t>, drawl of power through open access</w:t>
      </w:r>
      <w:r w:rsidRPr="003E3158">
        <w:rPr>
          <w:rFonts w:ascii="Cambria" w:hAnsi="Cambria"/>
          <w:sz w:val="24"/>
          <w:szCs w:val="24"/>
        </w:rPr>
        <w:t xml:space="preserve"> along with temporary </w:t>
      </w:r>
      <w:r w:rsidR="00036E57" w:rsidRPr="003E3158">
        <w:rPr>
          <w:rFonts w:ascii="Cambria" w:hAnsi="Cambria"/>
          <w:sz w:val="24"/>
          <w:szCs w:val="24"/>
        </w:rPr>
        <w:t>cl</w:t>
      </w:r>
      <w:r w:rsidR="0007272F" w:rsidRPr="003E3158">
        <w:rPr>
          <w:rFonts w:ascii="Cambria" w:hAnsi="Cambria"/>
          <w:sz w:val="24"/>
          <w:szCs w:val="24"/>
        </w:rPr>
        <w:t>o</w:t>
      </w:r>
      <w:r w:rsidR="00036E57" w:rsidRPr="003E3158">
        <w:rPr>
          <w:rFonts w:ascii="Cambria" w:hAnsi="Cambria"/>
          <w:sz w:val="24"/>
          <w:szCs w:val="24"/>
        </w:rPr>
        <w:t xml:space="preserve">sure </w:t>
      </w:r>
      <w:r w:rsidRPr="003E3158">
        <w:rPr>
          <w:rFonts w:ascii="Cambria" w:hAnsi="Cambria"/>
          <w:sz w:val="24"/>
          <w:szCs w:val="24"/>
        </w:rPr>
        <w:t>of consumers in HT</w:t>
      </w:r>
      <w:r w:rsidR="007C50C6" w:rsidRPr="003E3158">
        <w:rPr>
          <w:rFonts w:ascii="Cambria" w:hAnsi="Cambria"/>
          <w:sz w:val="24"/>
          <w:szCs w:val="24"/>
        </w:rPr>
        <w:t>/EHT</w:t>
      </w:r>
      <w:r w:rsidRPr="003E3158">
        <w:rPr>
          <w:rFonts w:ascii="Cambria" w:hAnsi="Cambria"/>
          <w:sz w:val="24"/>
          <w:szCs w:val="24"/>
        </w:rPr>
        <w:t xml:space="preserve"> Category (steel </w:t>
      </w:r>
      <w:r w:rsidR="00756969" w:rsidRPr="003E3158">
        <w:rPr>
          <w:rFonts w:ascii="Cambria" w:hAnsi="Cambria"/>
          <w:sz w:val="24"/>
          <w:szCs w:val="24"/>
        </w:rPr>
        <w:t xml:space="preserve">&amp; mining </w:t>
      </w:r>
      <w:r w:rsidRPr="003E3158">
        <w:rPr>
          <w:rFonts w:ascii="Cambria" w:hAnsi="Cambria"/>
          <w:sz w:val="24"/>
          <w:szCs w:val="24"/>
        </w:rPr>
        <w:t xml:space="preserve">industries). </w:t>
      </w:r>
      <w:r w:rsidR="00C77FA8" w:rsidRPr="003E3158">
        <w:rPr>
          <w:rFonts w:ascii="Cambria" w:hAnsi="Cambria"/>
          <w:sz w:val="24"/>
          <w:szCs w:val="24"/>
        </w:rPr>
        <w:t xml:space="preserve">Expected consumer growth under irrigation category has been envisaged during ensuing year as per Deep bore well scheme of Govt. of Odisha. </w:t>
      </w:r>
      <w:r w:rsidRPr="003E3158">
        <w:rPr>
          <w:rFonts w:ascii="Cambria" w:hAnsi="Cambria"/>
          <w:sz w:val="24"/>
          <w:szCs w:val="24"/>
        </w:rPr>
        <w:t xml:space="preserve">The </w:t>
      </w:r>
      <w:r w:rsidR="007C50C6" w:rsidRPr="003E3158">
        <w:rPr>
          <w:rFonts w:ascii="Cambria" w:hAnsi="Cambria"/>
          <w:sz w:val="24"/>
          <w:szCs w:val="24"/>
        </w:rPr>
        <w:t>category-wise</w:t>
      </w:r>
      <w:r w:rsidRPr="003E3158">
        <w:rPr>
          <w:rFonts w:ascii="Cambria" w:hAnsi="Cambria"/>
          <w:sz w:val="24"/>
          <w:szCs w:val="24"/>
        </w:rPr>
        <w:t xml:space="preserve"> consumption projected for FY 20</w:t>
      </w:r>
      <w:r w:rsidR="006F65B1">
        <w:rPr>
          <w:rFonts w:ascii="Cambria" w:hAnsi="Cambria"/>
          <w:sz w:val="24"/>
          <w:szCs w:val="24"/>
        </w:rPr>
        <w:t>20-21</w:t>
      </w:r>
      <w:r w:rsidRPr="003E3158">
        <w:rPr>
          <w:rFonts w:ascii="Cambria" w:hAnsi="Cambria"/>
          <w:sz w:val="24"/>
          <w:szCs w:val="24"/>
        </w:rPr>
        <w:t xml:space="preserve"> </w:t>
      </w:r>
      <w:r w:rsidR="00B31FDF" w:rsidRPr="003E3158">
        <w:rPr>
          <w:rFonts w:ascii="Cambria" w:hAnsi="Cambria"/>
          <w:sz w:val="24"/>
          <w:szCs w:val="24"/>
        </w:rPr>
        <w:t xml:space="preserve">has been depicted </w:t>
      </w:r>
      <w:r w:rsidRPr="003E3158">
        <w:rPr>
          <w:rFonts w:ascii="Cambria" w:hAnsi="Cambria"/>
          <w:sz w:val="24"/>
          <w:szCs w:val="24"/>
        </w:rPr>
        <w:t>in following sections.</w:t>
      </w:r>
    </w:p>
    <w:p w:rsidR="004276A0" w:rsidRPr="00852A4A" w:rsidRDefault="004276A0" w:rsidP="004276A0">
      <w:pPr>
        <w:pStyle w:val="BodyText2"/>
        <w:spacing w:line="360" w:lineRule="auto"/>
        <w:jc w:val="both"/>
        <w:rPr>
          <w:rFonts w:ascii="Cambria" w:hAnsi="Cambria"/>
          <w:b/>
          <w:sz w:val="24"/>
          <w:szCs w:val="24"/>
        </w:rPr>
      </w:pPr>
      <w:r w:rsidRPr="00852A4A">
        <w:rPr>
          <w:rFonts w:ascii="Cambria" w:hAnsi="Cambria"/>
          <w:b/>
          <w:sz w:val="24"/>
          <w:szCs w:val="24"/>
        </w:rPr>
        <w:t>LT Category</w:t>
      </w:r>
    </w:p>
    <w:p w:rsidR="004276A0" w:rsidRPr="00852A4A" w:rsidRDefault="004276A0" w:rsidP="004276A0">
      <w:pPr>
        <w:pStyle w:val="BodyText2"/>
        <w:spacing w:line="360" w:lineRule="auto"/>
        <w:jc w:val="both"/>
        <w:rPr>
          <w:rFonts w:ascii="Cambria" w:hAnsi="Cambria" w:cs="Arial"/>
          <w:sz w:val="24"/>
          <w:szCs w:val="24"/>
          <w:lang w:val="en-GB"/>
        </w:rPr>
      </w:pPr>
      <w:r w:rsidRPr="00852A4A">
        <w:rPr>
          <w:rFonts w:ascii="Cambria" w:hAnsi="Cambria" w:cs="Arial"/>
          <w:sz w:val="24"/>
          <w:szCs w:val="24"/>
          <w:lang w:val="en-GB"/>
        </w:rPr>
        <w:t xml:space="preserve">The growth in the domestic category has been estimated at </w:t>
      </w:r>
      <w:r w:rsidR="00852A4A">
        <w:rPr>
          <w:rFonts w:ascii="Cambria" w:hAnsi="Cambria" w:cs="Arial"/>
          <w:sz w:val="24"/>
          <w:szCs w:val="24"/>
          <w:lang w:val="en-GB"/>
        </w:rPr>
        <w:t>1</w:t>
      </w:r>
      <w:r w:rsidR="006F65B1">
        <w:rPr>
          <w:rFonts w:ascii="Cambria" w:hAnsi="Cambria" w:cs="Arial"/>
          <w:sz w:val="24"/>
          <w:szCs w:val="24"/>
          <w:lang w:val="en-GB"/>
        </w:rPr>
        <w:t>4</w:t>
      </w:r>
      <w:r w:rsidRPr="00852A4A">
        <w:rPr>
          <w:rFonts w:ascii="Cambria" w:hAnsi="Cambria" w:cs="Arial"/>
          <w:sz w:val="24"/>
          <w:szCs w:val="24"/>
          <w:lang w:val="en-GB"/>
        </w:rPr>
        <w:t>% during FY 20</w:t>
      </w:r>
      <w:r w:rsidR="006F65B1">
        <w:rPr>
          <w:rFonts w:ascii="Cambria" w:hAnsi="Cambria" w:cs="Arial"/>
          <w:sz w:val="24"/>
          <w:szCs w:val="24"/>
          <w:lang w:val="en-GB"/>
        </w:rPr>
        <w:t>20-21</w:t>
      </w:r>
      <w:r w:rsidRPr="00852A4A">
        <w:rPr>
          <w:rFonts w:ascii="Cambria" w:hAnsi="Cambria" w:cs="Arial"/>
          <w:sz w:val="24"/>
          <w:szCs w:val="24"/>
          <w:lang w:val="en-GB"/>
        </w:rPr>
        <w:t xml:space="preserve"> as against the estimated growth of around </w:t>
      </w:r>
      <w:r w:rsidR="006F65B1">
        <w:rPr>
          <w:rFonts w:ascii="Cambria" w:hAnsi="Cambria" w:cs="Arial"/>
          <w:sz w:val="24"/>
          <w:szCs w:val="24"/>
          <w:lang w:val="en-GB"/>
        </w:rPr>
        <w:t>25</w:t>
      </w:r>
      <w:r w:rsidRPr="00852A4A">
        <w:rPr>
          <w:rFonts w:ascii="Cambria" w:hAnsi="Cambria" w:cs="Arial"/>
          <w:sz w:val="24"/>
          <w:szCs w:val="24"/>
          <w:lang w:val="en-GB"/>
        </w:rPr>
        <w:t>% during FY 201</w:t>
      </w:r>
      <w:r w:rsidR="006F65B1">
        <w:rPr>
          <w:rFonts w:ascii="Cambria" w:hAnsi="Cambria" w:cs="Arial"/>
          <w:sz w:val="24"/>
          <w:szCs w:val="24"/>
          <w:lang w:val="en-GB"/>
        </w:rPr>
        <w:t>9-20</w:t>
      </w:r>
      <w:r w:rsidRPr="00852A4A">
        <w:rPr>
          <w:rFonts w:ascii="Cambria" w:hAnsi="Cambria" w:cs="Arial"/>
          <w:sz w:val="24"/>
          <w:szCs w:val="24"/>
          <w:lang w:val="en-GB"/>
        </w:rPr>
        <w:t xml:space="preserve">. The </w:t>
      </w:r>
      <w:r w:rsidR="006C38E9" w:rsidRPr="00852A4A">
        <w:rPr>
          <w:rFonts w:ascii="Cambria" w:hAnsi="Cambria" w:cs="Arial"/>
          <w:sz w:val="24"/>
          <w:szCs w:val="24"/>
          <w:lang w:val="en-GB"/>
        </w:rPr>
        <w:t>Utility</w:t>
      </w:r>
      <w:r w:rsidRPr="00852A4A">
        <w:rPr>
          <w:rFonts w:ascii="Cambria" w:hAnsi="Cambria" w:cs="Arial"/>
          <w:sz w:val="24"/>
          <w:szCs w:val="24"/>
          <w:lang w:val="en-GB"/>
        </w:rPr>
        <w:t xml:space="preserve"> would like to submit that under various schemes like </w:t>
      </w:r>
      <w:r w:rsidR="00B31FDF" w:rsidRPr="00852A4A">
        <w:rPr>
          <w:rFonts w:ascii="Cambria" w:hAnsi="Cambria" w:cs="Arial"/>
          <w:sz w:val="24"/>
          <w:szCs w:val="24"/>
          <w:lang w:val="en-GB"/>
        </w:rPr>
        <w:t xml:space="preserve">DDUGJY, </w:t>
      </w:r>
      <w:r w:rsidRPr="00852A4A">
        <w:rPr>
          <w:rFonts w:ascii="Cambria" w:hAnsi="Cambria" w:cs="Arial"/>
          <w:sz w:val="24"/>
          <w:szCs w:val="24"/>
          <w:lang w:val="en-GB"/>
        </w:rPr>
        <w:t>RGGVY</w:t>
      </w:r>
      <w:r w:rsidR="00384CBC" w:rsidRPr="00852A4A">
        <w:rPr>
          <w:rFonts w:ascii="Cambria" w:hAnsi="Cambria" w:cs="Arial"/>
          <w:sz w:val="24"/>
          <w:szCs w:val="24"/>
          <w:lang w:val="en-GB"/>
        </w:rPr>
        <w:t>, BSVY</w:t>
      </w:r>
      <w:r w:rsidRPr="00852A4A">
        <w:rPr>
          <w:rFonts w:ascii="Cambria" w:hAnsi="Cambria" w:cs="Arial"/>
          <w:sz w:val="24"/>
          <w:szCs w:val="24"/>
          <w:lang w:val="en-GB"/>
        </w:rPr>
        <w:t xml:space="preserve">, BGJY etc. many </w:t>
      </w:r>
      <w:r w:rsidR="00384CBC" w:rsidRPr="00852A4A">
        <w:rPr>
          <w:rFonts w:ascii="Cambria" w:hAnsi="Cambria" w:cs="Arial"/>
          <w:sz w:val="24"/>
          <w:szCs w:val="24"/>
          <w:lang w:val="en-GB"/>
        </w:rPr>
        <w:t>households</w:t>
      </w:r>
      <w:r w:rsidR="006F65B1">
        <w:rPr>
          <w:rFonts w:ascii="Cambria" w:hAnsi="Cambria" w:cs="Arial"/>
          <w:sz w:val="24"/>
          <w:szCs w:val="24"/>
          <w:lang w:val="en-GB"/>
        </w:rPr>
        <w:t xml:space="preserve"> have already been </w:t>
      </w:r>
      <w:r w:rsidRPr="00852A4A">
        <w:rPr>
          <w:rFonts w:ascii="Cambria" w:hAnsi="Cambria" w:cs="Arial"/>
          <w:sz w:val="24"/>
          <w:szCs w:val="24"/>
          <w:lang w:val="en-GB"/>
        </w:rPr>
        <w:t xml:space="preserve">electrified </w:t>
      </w:r>
      <w:r w:rsidR="006F65B1">
        <w:rPr>
          <w:rFonts w:ascii="Cambria" w:hAnsi="Cambria" w:cs="Arial"/>
          <w:sz w:val="24"/>
          <w:szCs w:val="24"/>
          <w:lang w:val="en-GB"/>
        </w:rPr>
        <w:t>are considered.</w:t>
      </w:r>
      <w:r w:rsidRPr="00852A4A">
        <w:rPr>
          <w:rFonts w:ascii="Cambria" w:hAnsi="Cambria" w:cs="Arial"/>
          <w:sz w:val="24"/>
          <w:szCs w:val="24"/>
          <w:lang w:val="en-GB"/>
        </w:rPr>
        <w:t xml:space="preserve"> </w:t>
      </w:r>
      <w:r w:rsidR="00F454F3" w:rsidRPr="00852A4A">
        <w:rPr>
          <w:rFonts w:ascii="Cambria" w:hAnsi="Cambria" w:cs="Arial"/>
          <w:sz w:val="24"/>
          <w:szCs w:val="24"/>
          <w:lang w:val="en-GB"/>
        </w:rPr>
        <w:t>T</w:t>
      </w:r>
      <w:r w:rsidRPr="00852A4A">
        <w:rPr>
          <w:rFonts w:ascii="Cambria" w:hAnsi="Cambria" w:cs="Arial"/>
          <w:sz w:val="24"/>
          <w:szCs w:val="24"/>
          <w:lang w:val="en-GB"/>
        </w:rPr>
        <w:t>he impact of same has been considered whi</w:t>
      </w:r>
      <w:r w:rsidR="00C97B44">
        <w:rPr>
          <w:rFonts w:ascii="Cambria" w:hAnsi="Cambria" w:cs="Arial"/>
          <w:sz w:val="24"/>
          <w:szCs w:val="24"/>
          <w:lang w:val="en-GB"/>
        </w:rPr>
        <w:t>le estimating the sales for Kutir J</w:t>
      </w:r>
      <w:r w:rsidRPr="00852A4A">
        <w:rPr>
          <w:rFonts w:ascii="Cambria" w:hAnsi="Cambria" w:cs="Arial"/>
          <w:sz w:val="24"/>
          <w:szCs w:val="24"/>
          <w:lang w:val="en-GB"/>
        </w:rPr>
        <w:t>yoti and domestic category respecti</w:t>
      </w:r>
      <w:r w:rsidR="006F65B1">
        <w:rPr>
          <w:rFonts w:ascii="Cambria" w:hAnsi="Cambria" w:cs="Arial"/>
          <w:sz w:val="24"/>
          <w:szCs w:val="24"/>
          <w:lang w:val="en-GB"/>
        </w:rPr>
        <w:t>vely for FY 2020-21</w:t>
      </w:r>
      <w:r w:rsidRPr="00852A4A">
        <w:rPr>
          <w:rFonts w:ascii="Cambria" w:hAnsi="Cambria" w:cs="Arial"/>
          <w:sz w:val="24"/>
          <w:szCs w:val="24"/>
          <w:lang w:val="en-GB"/>
        </w:rPr>
        <w:t>.</w:t>
      </w:r>
    </w:p>
    <w:p w:rsidR="004276A0" w:rsidRPr="00852A4A" w:rsidRDefault="004276A0" w:rsidP="004276A0">
      <w:pPr>
        <w:pStyle w:val="BodyText2"/>
        <w:spacing w:line="360" w:lineRule="auto"/>
        <w:jc w:val="both"/>
        <w:rPr>
          <w:rFonts w:ascii="Cambria" w:hAnsi="Cambria"/>
          <w:sz w:val="24"/>
          <w:szCs w:val="24"/>
        </w:rPr>
      </w:pPr>
      <w:r w:rsidRPr="00852A4A">
        <w:rPr>
          <w:rFonts w:ascii="Cambria" w:hAnsi="Cambria"/>
          <w:sz w:val="24"/>
          <w:szCs w:val="24"/>
        </w:rPr>
        <w:t xml:space="preserve">The growth in the sales of other categories in the LT sector has been estimated in the range of </w:t>
      </w:r>
      <w:r w:rsidR="006F65B1">
        <w:rPr>
          <w:rFonts w:ascii="Cambria" w:hAnsi="Cambria"/>
          <w:sz w:val="24"/>
          <w:szCs w:val="24"/>
        </w:rPr>
        <w:t>15</w:t>
      </w:r>
      <w:r w:rsidRPr="00852A4A">
        <w:rPr>
          <w:rFonts w:ascii="Cambria" w:hAnsi="Cambria"/>
          <w:sz w:val="24"/>
          <w:szCs w:val="24"/>
        </w:rPr>
        <w:t>% during 20</w:t>
      </w:r>
      <w:r w:rsidR="006F65B1">
        <w:rPr>
          <w:rFonts w:ascii="Cambria" w:hAnsi="Cambria"/>
          <w:sz w:val="24"/>
          <w:szCs w:val="24"/>
        </w:rPr>
        <w:t>20-21</w:t>
      </w:r>
      <w:r w:rsidRPr="00852A4A">
        <w:rPr>
          <w:rFonts w:ascii="Cambria" w:hAnsi="Cambria"/>
          <w:sz w:val="24"/>
          <w:szCs w:val="24"/>
        </w:rPr>
        <w:t xml:space="preserve"> considering the past trends.</w:t>
      </w:r>
      <w:r w:rsidR="001114E8" w:rsidRPr="00852A4A">
        <w:rPr>
          <w:rFonts w:ascii="Cambria" w:hAnsi="Cambria"/>
          <w:sz w:val="24"/>
          <w:szCs w:val="24"/>
        </w:rPr>
        <w:t xml:space="preserve"> </w:t>
      </w:r>
      <w:r w:rsidRPr="00852A4A">
        <w:rPr>
          <w:rFonts w:ascii="Cambria" w:hAnsi="Cambria"/>
          <w:sz w:val="24"/>
          <w:szCs w:val="24"/>
        </w:rPr>
        <w:t xml:space="preserve"> </w:t>
      </w:r>
    </w:p>
    <w:p w:rsidR="004276A0" w:rsidRPr="00B27848" w:rsidRDefault="004276A0" w:rsidP="004276A0">
      <w:pPr>
        <w:pStyle w:val="BodyText2"/>
        <w:spacing w:line="360" w:lineRule="auto"/>
        <w:jc w:val="both"/>
        <w:rPr>
          <w:rFonts w:ascii="Cambria" w:hAnsi="Cambria"/>
          <w:sz w:val="24"/>
          <w:szCs w:val="24"/>
        </w:rPr>
      </w:pPr>
      <w:r w:rsidRPr="00852A4A">
        <w:rPr>
          <w:rFonts w:ascii="Cambria" w:hAnsi="Cambria"/>
          <w:sz w:val="24"/>
          <w:szCs w:val="24"/>
        </w:rPr>
        <w:t>The domestic sales during last three years have increased in higher proportion as compared to previous years due to massive village electrification schemes. The summary of sales projections for LT category is given in following:</w:t>
      </w:r>
    </w:p>
    <w:tbl>
      <w:tblPr>
        <w:tblW w:w="9317" w:type="dxa"/>
        <w:tblInd w:w="93" w:type="dxa"/>
        <w:tblLook w:val="04A0"/>
      </w:tblPr>
      <w:tblGrid>
        <w:gridCol w:w="3105"/>
        <w:gridCol w:w="1487"/>
        <w:gridCol w:w="1575"/>
        <w:gridCol w:w="1575"/>
        <w:gridCol w:w="1575"/>
      </w:tblGrid>
      <w:tr w:rsidR="006F65B1" w:rsidRPr="00852A4A" w:rsidTr="00852A4A">
        <w:trPr>
          <w:trHeight w:val="342"/>
        </w:trPr>
        <w:tc>
          <w:tcPr>
            <w:tcW w:w="3105" w:type="dxa"/>
            <w:tcBorders>
              <w:top w:val="single" w:sz="8" w:space="0" w:color="auto"/>
              <w:left w:val="single" w:sz="8" w:space="0" w:color="auto"/>
              <w:bottom w:val="single" w:sz="8" w:space="0" w:color="auto"/>
              <w:right w:val="single" w:sz="8" w:space="0" w:color="auto"/>
            </w:tcBorders>
            <w:shd w:val="clear" w:color="000000" w:fill="FF9900"/>
            <w:noWrap/>
            <w:vAlign w:val="bottom"/>
            <w:hideMark/>
          </w:tcPr>
          <w:p w:rsidR="006F65B1" w:rsidRPr="00852A4A" w:rsidRDefault="006F65B1" w:rsidP="00875402">
            <w:pPr>
              <w:jc w:val="center"/>
              <w:rPr>
                <w:rFonts w:ascii="Cambria" w:hAnsi="Cambria"/>
                <w:b/>
                <w:bCs/>
                <w:color w:val="000000"/>
              </w:rPr>
            </w:pPr>
            <w:r w:rsidRPr="00852A4A">
              <w:rPr>
                <w:rFonts w:ascii="Cambria" w:hAnsi="Cambria"/>
                <w:b/>
                <w:bCs/>
                <w:color w:val="000000"/>
              </w:rPr>
              <w:t>Sales(MU)</w:t>
            </w:r>
          </w:p>
        </w:tc>
        <w:tc>
          <w:tcPr>
            <w:tcW w:w="1487" w:type="dxa"/>
            <w:tcBorders>
              <w:top w:val="single" w:sz="8" w:space="0" w:color="auto"/>
              <w:left w:val="nil"/>
              <w:bottom w:val="single" w:sz="8" w:space="0" w:color="auto"/>
              <w:right w:val="single" w:sz="8" w:space="0" w:color="auto"/>
            </w:tcBorders>
            <w:shd w:val="clear" w:color="000000" w:fill="FF9900"/>
            <w:vAlign w:val="center"/>
            <w:hideMark/>
          </w:tcPr>
          <w:p w:rsidR="006F65B1" w:rsidRDefault="006F65B1" w:rsidP="00F42E0C">
            <w:pPr>
              <w:jc w:val="center"/>
              <w:rPr>
                <w:rFonts w:ascii="Cambria" w:hAnsi="Cambria" w:cs="Arial"/>
                <w:b/>
                <w:bCs/>
                <w:color w:val="000000"/>
              </w:rPr>
            </w:pPr>
            <w:r>
              <w:rPr>
                <w:rFonts w:ascii="Cambria" w:hAnsi="Cambria" w:cs="Arial"/>
                <w:b/>
                <w:bCs/>
                <w:color w:val="000000"/>
              </w:rPr>
              <w:t>FY 2017-18</w:t>
            </w:r>
          </w:p>
        </w:tc>
        <w:tc>
          <w:tcPr>
            <w:tcW w:w="1575" w:type="dxa"/>
            <w:tcBorders>
              <w:top w:val="single" w:sz="8" w:space="0" w:color="auto"/>
              <w:left w:val="nil"/>
              <w:bottom w:val="single" w:sz="8" w:space="0" w:color="auto"/>
              <w:right w:val="single" w:sz="8" w:space="0" w:color="auto"/>
            </w:tcBorders>
            <w:shd w:val="clear" w:color="000000" w:fill="FF9900"/>
            <w:vAlign w:val="center"/>
            <w:hideMark/>
          </w:tcPr>
          <w:p w:rsidR="006F65B1" w:rsidRDefault="006F65B1" w:rsidP="00F42E0C">
            <w:pPr>
              <w:jc w:val="center"/>
              <w:rPr>
                <w:rFonts w:ascii="Cambria" w:hAnsi="Cambria" w:cs="Arial"/>
                <w:b/>
                <w:bCs/>
                <w:color w:val="000000"/>
              </w:rPr>
            </w:pPr>
            <w:r>
              <w:rPr>
                <w:rFonts w:ascii="Cambria" w:hAnsi="Cambria" w:cs="Arial"/>
                <w:b/>
                <w:bCs/>
                <w:color w:val="000000"/>
              </w:rPr>
              <w:t>FY 2018-19</w:t>
            </w:r>
          </w:p>
        </w:tc>
        <w:tc>
          <w:tcPr>
            <w:tcW w:w="1575" w:type="dxa"/>
            <w:tcBorders>
              <w:top w:val="single" w:sz="8" w:space="0" w:color="auto"/>
              <w:left w:val="nil"/>
              <w:bottom w:val="single" w:sz="8" w:space="0" w:color="auto"/>
              <w:right w:val="single" w:sz="8" w:space="0" w:color="auto"/>
            </w:tcBorders>
            <w:shd w:val="clear" w:color="000000" w:fill="FF9900"/>
            <w:vAlign w:val="center"/>
            <w:hideMark/>
          </w:tcPr>
          <w:p w:rsidR="006F65B1" w:rsidRDefault="006F65B1" w:rsidP="00F42E0C">
            <w:pPr>
              <w:jc w:val="center"/>
              <w:rPr>
                <w:rFonts w:ascii="Cambria" w:hAnsi="Cambria" w:cs="Arial"/>
                <w:b/>
                <w:bCs/>
                <w:color w:val="000000"/>
              </w:rPr>
            </w:pPr>
            <w:r>
              <w:rPr>
                <w:rFonts w:ascii="Cambria" w:hAnsi="Cambria" w:cs="Arial"/>
                <w:b/>
                <w:bCs/>
                <w:color w:val="000000"/>
              </w:rPr>
              <w:t>FY 2019-20</w:t>
            </w:r>
          </w:p>
        </w:tc>
        <w:tc>
          <w:tcPr>
            <w:tcW w:w="1575" w:type="dxa"/>
            <w:tcBorders>
              <w:top w:val="single" w:sz="8" w:space="0" w:color="auto"/>
              <w:left w:val="nil"/>
              <w:bottom w:val="single" w:sz="8" w:space="0" w:color="auto"/>
              <w:right w:val="single" w:sz="8" w:space="0" w:color="auto"/>
            </w:tcBorders>
            <w:shd w:val="clear" w:color="000000" w:fill="FF9900"/>
            <w:vAlign w:val="center"/>
            <w:hideMark/>
          </w:tcPr>
          <w:p w:rsidR="006F65B1" w:rsidRDefault="006F65B1" w:rsidP="006F65B1">
            <w:pPr>
              <w:jc w:val="center"/>
              <w:rPr>
                <w:rFonts w:ascii="Cambria" w:hAnsi="Cambria" w:cs="Arial"/>
                <w:b/>
                <w:bCs/>
                <w:color w:val="000000"/>
              </w:rPr>
            </w:pPr>
            <w:r>
              <w:rPr>
                <w:rFonts w:ascii="Cambria" w:hAnsi="Cambria" w:cs="Arial"/>
                <w:b/>
                <w:bCs/>
                <w:color w:val="000000"/>
              </w:rPr>
              <w:t>FY 2020-21</w:t>
            </w:r>
          </w:p>
        </w:tc>
      </w:tr>
      <w:tr w:rsidR="006F65B1" w:rsidRPr="00852A4A" w:rsidTr="00852A4A">
        <w:trPr>
          <w:trHeight w:val="342"/>
        </w:trPr>
        <w:tc>
          <w:tcPr>
            <w:tcW w:w="3105" w:type="dxa"/>
            <w:tcBorders>
              <w:top w:val="nil"/>
              <w:left w:val="single" w:sz="8" w:space="0" w:color="auto"/>
              <w:bottom w:val="single" w:sz="8" w:space="0" w:color="auto"/>
              <w:right w:val="single" w:sz="8" w:space="0" w:color="auto"/>
            </w:tcBorders>
            <w:shd w:val="clear" w:color="auto" w:fill="auto"/>
            <w:noWrap/>
            <w:vAlign w:val="bottom"/>
            <w:hideMark/>
          </w:tcPr>
          <w:p w:rsidR="006F65B1" w:rsidRPr="00852A4A" w:rsidRDefault="006F65B1" w:rsidP="00875402">
            <w:pPr>
              <w:rPr>
                <w:rFonts w:ascii="Cambria" w:hAnsi="Cambria"/>
                <w:color w:val="000000"/>
              </w:rPr>
            </w:pPr>
            <w:r w:rsidRPr="00852A4A">
              <w:rPr>
                <w:rFonts w:ascii="Cambria" w:hAnsi="Cambria"/>
                <w:color w:val="000000"/>
              </w:rPr>
              <w:t>Domestic</w:t>
            </w:r>
          </w:p>
        </w:tc>
        <w:tc>
          <w:tcPr>
            <w:tcW w:w="1487" w:type="dxa"/>
            <w:tcBorders>
              <w:top w:val="nil"/>
              <w:left w:val="nil"/>
              <w:bottom w:val="single" w:sz="8" w:space="0" w:color="auto"/>
              <w:right w:val="single" w:sz="8" w:space="0" w:color="auto"/>
            </w:tcBorders>
            <w:shd w:val="clear" w:color="auto" w:fill="auto"/>
            <w:noWrap/>
            <w:vAlign w:val="center"/>
            <w:hideMark/>
          </w:tcPr>
          <w:p w:rsidR="006F65B1" w:rsidRDefault="006F65B1" w:rsidP="00F42E0C">
            <w:pPr>
              <w:jc w:val="right"/>
              <w:rPr>
                <w:rFonts w:ascii="Cambria" w:hAnsi="Cambria" w:cs="Arial"/>
                <w:color w:val="000000"/>
              </w:rPr>
            </w:pPr>
            <w:r>
              <w:rPr>
                <w:rFonts w:ascii="Cambria" w:hAnsi="Cambria" w:cs="Arial"/>
                <w:color w:val="000000"/>
              </w:rPr>
              <w:t>1289.353</w:t>
            </w:r>
          </w:p>
        </w:tc>
        <w:tc>
          <w:tcPr>
            <w:tcW w:w="1575" w:type="dxa"/>
            <w:tcBorders>
              <w:top w:val="nil"/>
              <w:left w:val="nil"/>
              <w:bottom w:val="single" w:sz="8" w:space="0" w:color="auto"/>
              <w:right w:val="single" w:sz="8" w:space="0" w:color="auto"/>
            </w:tcBorders>
            <w:shd w:val="clear" w:color="auto" w:fill="auto"/>
            <w:noWrap/>
            <w:vAlign w:val="center"/>
            <w:hideMark/>
          </w:tcPr>
          <w:p w:rsidR="006F65B1" w:rsidRDefault="006F65B1" w:rsidP="00F42E0C">
            <w:pPr>
              <w:jc w:val="right"/>
              <w:rPr>
                <w:rFonts w:ascii="Cambria" w:hAnsi="Cambria" w:cs="Arial"/>
                <w:color w:val="000000"/>
              </w:rPr>
            </w:pPr>
            <w:r>
              <w:rPr>
                <w:rFonts w:ascii="Cambria" w:hAnsi="Cambria" w:cs="Arial"/>
                <w:color w:val="000000"/>
              </w:rPr>
              <w:t>1389.314</w:t>
            </w:r>
          </w:p>
        </w:tc>
        <w:tc>
          <w:tcPr>
            <w:tcW w:w="1575" w:type="dxa"/>
            <w:tcBorders>
              <w:top w:val="nil"/>
              <w:left w:val="nil"/>
              <w:bottom w:val="single" w:sz="8" w:space="0" w:color="auto"/>
              <w:right w:val="single" w:sz="8" w:space="0" w:color="auto"/>
            </w:tcBorders>
            <w:shd w:val="clear" w:color="auto" w:fill="auto"/>
            <w:noWrap/>
            <w:vAlign w:val="center"/>
            <w:hideMark/>
          </w:tcPr>
          <w:p w:rsidR="006F65B1" w:rsidRDefault="006F3B71" w:rsidP="00F42E0C">
            <w:pPr>
              <w:jc w:val="right"/>
              <w:rPr>
                <w:rFonts w:ascii="Cambria" w:hAnsi="Cambria" w:cs="Arial"/>
                <w:color w:val="000000"/>
              </w:rPr>
            </w:pPr>
            <w:r>
              <w:rPr>
                <w:rFonts w:ascii="Cambria" w:hAnsi="Cambria" w:cs="Arial"/>
                <w:color w:val="000000"/>
              </w:rPr>
              <w:t>1734.187</w:t>
            </w:r>
          </w:p>
        </w:tc>
        <w:tc>
          <w:tcPr>
            <w:tcW w:w="1575" w:type="dxa"/>
            <w:tcBorders>
              <w:top w:val="nil"/>
              <w:left w:val="nil"/>
              <w:bottom w:val="single" w:sz="8" w:space="0" w:color="auto"/>
              <w:right w:val="single" w:sz="8" w:space="0" w:color="auto"/>
            </w:tcBorders>
            <w:shd w:val="clear" w:color="auto" w:fill="auto"/>
            <w:noWrap/>
            <w:vAlign w:val="center"/>
            <w:hideMark/>
          </w:tcPr>
          <w:p w:rsidR="006F65B1" w:rsidRDefault="006F3B71">
            <w:pPr>
              <w:jc w:val="right"/>
              <w:rPr>
                <w:rFonts w:ascii="Cambria" w:hAnsi="Cambria" w:cs="Arial"/>
                <w:color w:val="000000"/>
              </w:rPr>
            </w:pPr>
            <w:r>
              <w:rPr>
                <w:rFonts w:ascii="Cambria" w:hAnsi="Cambria" w:cs="Arial"/>
                <w:color w:val="000000"/>
              </w:rPr>
              <w:t>1983.665</w:t>
            </w:r>
          </w:p>
        </w:tc>
      </w:tr>
      <w:tr w:rsidR="006F65B1" w:rsidRPr="00852A4A" w:rsidTr="00852A4A">
        <w:trPr>
          <w:trHeight w:val="342"/>
        </w:trPr>
        <w:tc>
          <w:tcPr>
            <w:tcW w:w="3105" w:type="dxa"/>
            <w:tcBorders>
              <w:top w:val="nil"/>
              <w:left w:val="single" w:sz="8" w:space="0" w:color="auto"/>
              <w:bottom w:val="single" w:sz="8" w:space="0" w:color="auto"/>
              <w:right w:val="single" w:sz="8" w:space="0" w:color="auto"/>
            </w:tcBorders>
            <w:shd w:val="clear" w:color="auto" w:fill="auto"/>
            <w:noWrap/>
            <w:vAlign w:val="bottom"/>
            <w:hideMark/>
          </w:tcPr>
          <w:p w:rsidR="006F65B1" w:rsidRPr="00852A4A" w:rsidRDefault="006F65B1" w:rsidP="00875402">
            <w:pPr>
              <w:rPr>
                <w:rFonts w:ascii="Cambria" w:hAnsi="Cambria"/>
                <w:color w:val="000000"/>
              </w:rPr>
            </w:pPr>
            <w:r w:rsidRPr="00852A4A">
              <w:rPr>
                <w:rFonts w:ascii="Cambria" w:hAnsi="Cambria"/>
                <w:color w:val="000000"/>
              </w:rPr>
              <w:t>General Purpose&lt;100 kw</w:t>
            </w:r>
          </w:p>
        </w:tc>
        <w:tc>
          <w:tcPr>
            <w:tcW w:w="1487" w:type="dxa"/>
            <w:tcBorders>
              <w:top w:val="nil"/>
              <w:left w:val="nil"/>
              <w:bottom w:val="single" w:sz="8" w:space="0" w:color="auto"/>
              <w:right w:val="single" w:sz="8" w:space="0" w:color="auto"/>
            </w:tcBorders>
            <w:shd w:val="clear" w:color="auto" w:fill="auto"/>
            <w:noWrap/>
            <w:vAlign w:val="center"/>
            <w:hideMark/>
          </w:tcPr>
          <w:p w:rsidR="006F65B1" w:rsidRDefault="006F65B1" w:rsidP="00F42E0C">
            <w:pPr>
              <w:jc w:val="right"/>
              <w:rPr>
                <w:rFonts w:ascii="Cambria" w:hAnsi="Cambria" w:cs="Arial"/>
                <w:color w:val="000000"/>
              </w:rPr>
            </w:pPr>
            <w:r>
              <w:rPr>
                <w:rFonts w:ascii="Cambria" w:hAnsi="Cambria" w:cs="Arial"/>
                <w:color w:val="000000"/>
              </w:rPr>
              <w:t>279.16</w:t>
            </w:r>
          </w:p>
        </w:tc>
        <w:tc>
          <w:tcPr>
            <w:tcW w:w="1575" w:type="dxa"/>
            <w:tcBorders>
              <w:top w:val="nil"/>
              <w:left w:val="nil"/>
              <w:bottom w:val="single" w:sz="8" w:space="0" w:color="auto"/>
              <w:right w:val="single" w:sz="8" w:space="0" w:color="auto"/>
            </w:tcBorders>
            <w:shd w:val="clear" w:color="auto" w:fill="auto"/>
            <w:noWrap/>
            <w:vAlign w:val="center"/>
            <w:hideMark/>
          </w:tcPr>
          <w:p w:rsidR="006F65B1" w:rsidRDefault="006F65B1" w:rsidP="00F42E0C">
            <w:pPr>
              <w:jc w:val="right"/>
              <w:rPr>
                <w:rFonts w:ascii="Cambria" w:hAnsi="Cambria" w:cs="Arial"/>
                <w:color w:val="000000"/>
              </w:rPr>
            </w:pPr>
            <w:r>
              <w:rPr>
                <w:rFonts w:ascii="Cambria" w:hAnsi="Cambria" w:cs="Arial"/>
                <w:color w:val="000000"/>
              </w:rPr>
              <w:t>284.866</w:t>
            </w:r>
          </w:p>
        </w:tc>
        <w:tc>
          <w:tcPr>
            <w:tcW w:w="1575" w:type="dxa"/>
            <w:tcBorders>
              <w:top w:val="nil"/>
              <w:left w:val="nil"/>
              <w:bottom w:val="single" w:sz="8" w:space="0" w:color="auto"/>
              <w:right w:val="single" w:sz="8" w:space="0" w:color="auto"/>
            </w:tcBorders>
            <w:shd w:val="clear" w:color="auto" w:fill="auto"/>
            <w:noWrap/>
            <w:vAlign w:val="center"/>
            <w:hideMark/>
          </w:tcPr>
          <w:p w:rsidR="006F65B1" w:rsidRDefault="006F3B71" w:rsidP="00F42E0C">
            <w:pPr>
              <w:jc w:val="right"/>
              <w:rPr>
                <w:rFonts w:ascii="Cambria" w:hAnsi="Cambria" w:cs="Arial"/>
                <w:color w:val="000000"/>
              </w:rPr>
            </w:pPr>
            <w:r>
              <w:rPr>
                <w:rFonts w:ascii="Cambria" w:hAnsi="Cambria" w:cs="Arial"/>
                <w:color w:val="000000"/>
              </w:rPr>
              <w:t>335.931</w:t>
            </w:r>
          </w:p>
        </w:tc>
        <w:tc>
          <w:tcPr>
            <w:tcW w:w="1575" w:type="dxa"/>
            <w:tcBorders>
              <w:top w:val="nil"/>
              <w:left w:val="nil"/>
              <w:bottom w:val="single" w:sz="8" w:space="0" w:color="auto"/>
              <w:right w:val="single" w:sz="8" w:space="0" w:color="auto"/>
            </w:tcBorders>
            <w:shd w:val="clear" w:color="auto" w:fill="auto"/>
            <w:noWrap/>
            <w:vAlign w:val="center"/>
            <w:hideMark/>
          </w:tcPr>
          <w:p w:rsidR="006F65B1" w:rsidRDefault="006F3B71">
            <w:pPr>
              <w:jc w:val="right"/>
              <w:rPr>
                <w:rFonts w:ascii="Cambria" w:hAnsi="Cambria" w:cs="Arial"/>
                <w:color w:val="000000"/>
              </w:rPr>
            </w:pPr>
            <w:r>
              <w:rPr>
                <w:rFonts w:ascii="Cambria" w:hAnsi="Cambria" w:cs="Arial"/>
                <w:color w:val="000000"/>
              </w:rPr>
              <w:t>374.140</w:t>
            </w:r>
          </w:p>
        </w:tc>
      </w:tr>
      <w:tr w:rsidR="006F65B1" w:rsidRPr="00852A4A" w:rsidTr="00852A4A">
        <w:trPr>
          <w:trHeight w:val="342"/>
        </w:trPr>
        <w:tc>
          <w:tcPr>
            <w:tcW w:w="3105" w:type="dxa"/>
            <w:tcBorders>
              <w:top w:val="nil"/>
              <w:left w:val="single" w:sz="8" w:space="0" w:color="auto"/>
              <w:bottom w:val="single" w:sz="8" w:space="0" w:color="auto"/>
              <w:right w:val="single" w:sz="8" w:space="0" w:color="auto"/>
            </w:tcBorders>
            <w:shd w:val="clear" w:color="auto" w:fill="auto"/>
            <w:noWrap/>
            <w:vAlign w:val="bottom"/>
            <w:hideMark/>
          </w:tcPr>
          <w:p w:rsidR="006F65B1" w:rsidRPr="00852A4A" w:rsidRDefault="006F65B1" w:rsidP="00875402">
            <w:pPr>
              <w:rPr>
                <w:rFonts w:ascii="Cambria" w:hAnsi="Cambria"/>
                <w:color w:val="000000"/>
              </w:rPr>
            </w:pPr>
            <w:r w:rsidRPr="00852A4A">
              <w:rPr>
                <w:rFonts w:ascii="Cambria" w:hAnsi="Cambria"/>
                <w:color w:val="000000"/>
              </w:rPr>
              <w:t>Specified public purpose</w:t>
            </w:r>
          </w:p>
        </w:tc>
        <w:tc>
          <w:tcPr>
            <w:tcW w:w="1487" w:type="dxa"/>
            <w:tcBorders>
              <w:top w:val="nil"/>
              <w:left w:val="nil"/>
              <w:bottom w:val="single" w:sz="8" w:space="0" w:color="auto"/>
              <w:right w:val="single" w:sz="8" w:space="0" w:color="auto"/>
            </w:tcBorders>
            <w:shd w:val="clear" w:color="auto" w:fill="auto"/>
            <w:noWrap/>
            <w:vAlign w:val="center"/>
            <w:hideMark/>
          </w:tcPr>
          <w:p w:rsidR="006F65B1" w:rsidRDefault="006F65B1" w:rsidP="00F42E0C">
            <w:pPr>
              <w:jc w:val="right"/>
              <w:rPr>
                <w:rFonts w:ascii="Cambria" w:hAnsi="Cambria" w:cs="Arial"/>
                <w:color w:val="000000"/>
              </w:rPr>
            </w:pPr>
            <w:r>
              <w:rPr>
                <w:rFonts w:ascii="Cambria" w:hAnsi="Cambria" w:cs="Arial"/>
                <w:color w:val="000000"/>
              </w:rPr>
              <w:t>26.761</w:t>
            </w:r>
          </w:p>
        </w:tc>
        <w:tc>
          <w:tcPr>
            <w:tcW w:w="1575" w:type="dxa"/>
            <w:tcBorders>
              <w:top w:val="nil"/>
              <w:left w:val="nil"/>
              <w:bottom w:val="single" w:sz="8" w:space="0" w:color="auto"/>
              <w:right w:val="single" w:sz="8" w:space="0" w:color="auto"/>
            </w:tcBorders>
            <w:shd w:val="clear" w:color="auto" w:fill="auto"/>
            <w:noWrap/>
            <w:vAlign w:val="center"/>
            <w:hideMark/>
          </w:tcPr>
          <w:p w:rsidR="006F65B1" w:rsidRDefault="006F65B1" w:rsidP="00F42E0C">
            <w:pPr>
              <w:jc w:val="right"/>
              <w:rPr>
                <w:rFonts w:ascii="Cambria" w:hAnsi="Cambria" w:cs="Arial"/>
                <w:color w:val="000000"/>
              </w:rPr>
            </w:pPr>
            <w:r>
              <w:rPr>
                <w:rFonts w:ascii="Cambria" w:hAnsi="Cambria" w:cs="Arial"/>
                <w:color w:val="000000"/>
              </w:rPr>
              <w:t>24.835</w:t>
            </w:r>
          </w:p>
        </w:tc>
        <w:tc>
          <w:tcPr>
            <w:tcW w:w="1575" w:type="dxa"/>
            <w:tcBorders>
              <w:top w:val="nil"/>
              <w:left w:val="nil"/>
              <w:bottom w:val="single" w:sz="8" w:space="0" w:color="auto"/>
              <w:right w:val="single" w:sz="8" w:space="0" w:color="auto"/>
            </w:tcBorders>
            <w:shd w:val="clear" w:color="auto" w:fill="auto"/>
            <w:noWrap/>
            <w:vAlign w:val="center"/>
            <w:hideMark/>
          </w:tcPr>
          <w:p w:rsidR="006F65B1" w:rsidRDefault="006F3B71" w:rsidP="00F42E0C">
            <w:pPr>
              <w:jc w:val="right"/>
              <w:rPr>
                <w:rFonts w:ascii="Cambria" w:hAnsi="Cambria" w:cs="Arial"/>
                <w:color w:val="000000"/>
              </w:rPr>
            </w:pPr>
            <w:r>
              <w:rPr>
                <w:rFonts w:ascii="Cambria" w:hAnsi="Cambria" w:cs="Arial"/>
                <w:color w:val="000000"/>
              </w:rPr>
              <w:t>34.791</w:t>
            </w:r>
          </w:p>
        </w:tc>
        <w:tc>
          <w:tcPr>
            <w:tcW w:w="1575" w:type="dxa"/>
            <w:tcBorders>
              <w:top w:val="nil"/>
              <w:left w:val="nil"/>
              <w:bottom w:val="single" w:sz="8" w:space="0" w:color="auto"/>
              <w:right w:val="single" w:sz="8" w:space="0" w:color="auto"/>
            </w:tcBorders>
            <w:shd w:val="clear" w:color="auto" w:fill="auto"/>
            <w:noWrap/>
            <w:vAlign w:val="center"/>
            <w:hideMark/>
          </w:tcPr>
          <w:p w:rsidR="006F65B1" w:rsidRDefault="006F3B71">
            <w:pPr>
              <w:jc w:val="right"/>
              <w:rPr>
                <w:rFonts w:ascii="Cambria" w:hAnsi="Cambria" w:cs="Arial"/>
                <w:color w:val="000000"/>
              </w:rPr>
            </w:pPr>
            <w:r>
              <w:rPr>
                <w:rFonts w:ascii="Cambria" w:hAnsi="Cambria" w:cs="Arial"/>
                <w:color w:val="000000"/>
              </w:rPr>
              <w:t>52.255</w:t>
            </w:r>
          </w:p>
        </w:tc>
      </w:tr>
      <w:tr w:rsidR="006F65B1" w:rsidRPr="00852A4A" w:rsidTr="00852A4A">
        <w:trPr>
          <w:trHeight w:val="342"/>
        </w:trPr>
        <w:tc>
          <w:tcPr>
            <w:tcW w:w="3105" w:type="dxa"/>
            <w:tcBorders>
              <w:top w:val="nil"/>
              <w:left w:val="single" w:sz="8" w:space="0" w:color="auto"/>
              <w:bottom w:val="single" w:sz="8" w:space="0" w:color="auto"/>
              <w:right w:val="single" w:sz="8" w:space="0" w:color="auto"/>
            </w:tcBorders>
            <w:shd w:val="clear" w:color="auto" w:fill="auto"/>
            <w:noWrap/>
            <w:vAlign w:val="bottom"/>
            <w:hideMark/>
          </w:tcPr>
          <w:p w:rsidR="006F65B1" w:rsidRPr="00852A4A" w:rsidRDefault="006F65B1" w:rsidP="00875402">
            <w:pPr>
              <w:rPr>
                <w:rFonts w:ascii="Cambria" w:hAnsi="Cambria"/>
                <w:color w:val="000000"/>
              </w:rPr>
            </w:pPr>
            <w:r w:rsidRPr="00852A4A">
              <w:rPr>
                <w:rFonts w:ascii="Cambria" w:hAnsi="Cambria"/>
                <w:color w:val="000000"/>
              </w:rPr>
              <w:t>Irrigation</w:t>
            </w:r>
          </w:p>
        </w:tc>
        <w:tc>
          <w:tcPr>
            <w:tcW w:w="1487" w:type="dxa"/>
            <w:tcBorders>
              <w:top w:val="nil"/>
              <w:left w:val="nil"/>
              <w:bottom w:val="single" w:sz="8" w:space="0" w:color="auto"/>
              <w:right w:val="single" w:sz="8" w:space="0" w:color="auto"/>
            </w:tcBorders>
            <w:shd w:val="clear" w:color="auto" w:fill="auto"/>
            <w:noWrap/>
            <w:vAlign w:val="center"/>
            <w:hideMark/>
          </w:tcPr>
          <w:p w:rsidR="006F65B1" w:rsidRDefault="006F65B1" w:rsidP="00F42E0C">
            <w:pPr>
              <w:jc w:val="right"/>
              <w:rPr>
                <w:rFonts w:ascii="Cambria" w:hAnsi="Cambria" w:cs="Arial"/>
                <w:color w:val="000000"/>
              </w:rPr>
            </w:pPr>
            <w:r>
              <w:rPr>
                <w:rFonts w:ascii="Cambria" w:hAnsi="Cambria" w:cs="Arial"/>
                <w:color w:val="000000"/>
              </w:rPr>
              <w:t>80.17</w:t>
            </w:r>
          </w:p>
        </w:tc>
        <w:tc>
          <w:tcPr>
            <w:tcW w:w="1575" w:type="dxa"/>
            <w:tcBorders>
              <w:top w:val="nil"/>
              <w:left w:val="nil"/>
              <w:bottom w:val="single" w:sz="8" w:space="0" w:color="auto"/>
              <w:right w:val="single" w:sz="8" w:space="0" w:color="auto"/>
            </w:tcBorders>
            <w:shd w:val="clear" w:color="auto" w:fill="auto"/>
            <w:noWrap/>
            <w:vAlign w:val="center"/>
            <w:hideMark/>
          </w:tcPr>
          <w:p w:rsidR="006F65B1" w:rsidRDefault="006F65B1" w:rsidP="00F42E0C">
            <w:pPr>
              <w:jc w:val="right"/>
              <w:rPr>
                <w:rFonts w:ascii="Cambria" w:hAnsi="Cambria" w:cs="Arial"/>
                <w:color w:val="000000"/>
              </w:rPr>
            </w:pPr>
            <w:r>
              <w:rPr>
                <w:rFonts w:ascii="Cambria" w:hAnsi="Cambria" w:cs="Arial"/>
                <w:color w:val="000000"/>
              </w:rPr>
              <w:t>90.667</w:t>
            </w:r>
          </w:p>
        </w:tc>
        <w:tc>
          <w:tcPr>
            <w:tcW w:w="1575" w:type="dxa"/>
            <w:tcBorders>
              <w:top w:val="nil"/>
              <w:left w:val="nil"/>
              <w:bottom w:val="single" w:sz="8" w:space="0" w:color="auto"/>
              <w:right w:val="single" w:sz="8" w:space="0" w:color="auto"/>
            </w:tcBorders>
            <w:shd w:val="clear" w:color="auto" w:fill="auto"/>
            <w:noWrap/>
            <w:vAlign w:val="center"/>
            <w:hideMark/>
          </w:tcPr>
          <w:p w:rsidR="006F65B1" w:rsidRDefault="006F3B71" w:rsidP="00F42E0C">
            <w:pPr>
              <w:jc w:val="right"/>
              <w:rPr>
                <w:rFonts w:ascii="Cambria" w:hAnsi="Cambria" w:cs="Arial"/>
                <w:color w:val="000000"/>
              </w:rPr>
            </w:pPr>
            <w:r>
              <w:rPr>
                <w:rFonts w:ascii="Cambria" w:hAnsi="Cambria" w:cs="Arial"/>
                <w:color w:val="000000"/>
              </w:rPr>
              <w:t>105.692</w:t>
            </w:r>
          </w:p>
        </w:tc>
        <w:tc>
          <w:tcPr>
            <w:tcW w:w="1575" w:type="dxa"/>
            <w:tcBorders>
              <w:top w:val="nil"/>
              <w:left w:val="nil"/>
              <w:bottom w:val="single" w:sz="8" w:space="0" w:color="auto"/>
              <w:right w:val="single" w:sz="8" w:space="0" w:color="auto"/>
            </w:tcBorders>
            <w:shd w:val="clear" w:color="auto" w:fill="auto"/>
            <w:noWrap/>
            <w:vAlign w:val="center"/>
            <w:hideMark/>
          </w:tcPr>
          <w:p w:rsidR="006F65B1" w:rsidRDefault="006F3B71">
            <w:pPr>
              <w:jc w:val="right"/>
              <w:rPr>
                <w:rFonts w:ascii="Cambria" w:hAnsi="Cambria" w:cs="Arial"/>
                <w:color w:val="000000"/>
              </w:rPr>
            </w:pPr>
            <w:r>
              <w:rPr>
                <w:rFonts w:ascii="Cambria" w:hAnsi="Cambria" w:cs="Arial"/>
                <w:color w:val="000000"/>
              </w:rPr>
              <w:t>117.676</w:t>
            </w:r>
          </w:p>
        </w:tc>
      </w:tr>
      <w:tr w:rsidR="006F65B1" w:rsidRPr="00852A4A" w:rsidTr="00852A4A">
        <w:trPr>
          <w:trHeight w:val="342"/>
        </w:trPr>
        <w:tc>
          <w:tcPr>
            <w:tcW w:w="3105" w:type="dxa"/>
            <w:tcBorders>
              <w:top w:val="nil"/>
              <w:left w:val="single" w:sz="8" w:space="0" w:color="auto"/>
              <w:bottom w:val="single" w:sz="8" w:space="0" w:color="auto"/>
              <w:right w:val="single" w:sz="8" w:space="0" w:color="auto"/>
            </w:tcBorders>
            <w:shd w:val="clear" w:color="auto" w:fill="auto"/>
            <w:noWrap/>
            <w:vAlign w:val="bottom"/>
            <w:hideMark/>
          </w:tcPr>
          <w:p w:rsidR="006F65B1" w:rsidRPr="00852A4A" w:rsidRDefault="006F65B1" w:rsidP="00875402">
            <w:pPr>
              <w:rPr>
                <w:rFonts w:ascii="Cambria" w:hAnsi="Cambria"/>
                <w:color w:val="000000"/>
              </w:rPr>
            </w:pPr>
            <w:r w:rsidRPr="00852A4A">
              <w:rPr>
                <w:rFonts w:ascii="Cambria" w:hAnsi="Cambria"/>
                <w:color w:val="000000"/>
              </w:rPr>
              <w:t>Allied Agro Activities</w:t>
            </w:r>
          </w:p>
        </w:tc>
        <w:tc>
          <w:tcPr>
            <w:tcW w:w="1487" w:type="dxa"/>
            <w:tcBorders>
              <w:top w:val="nil"/>
              <w:left w:val="nil"/>
              <w:bottom w:val="single" w:sz="8" w:space="0" w:color="auto"/>
              <w:right w:val="single" w:sz="8" w:space="0" w:color="auto"/>
            </w:tcBorders>
            <w:shd w:val="clear" w:color="auto" w:fill="auto"/>
            <w:noWrap/>
            <w:vAlign w:val="center"/>
            <w:hideMark/>
          </w:tcPr>
          <w:p w:rsidR="006F65B1" w:rsidRDefault="006F65B1" w:rsidP="00F42E0C">
            <w:pPr>
              <w:jc w:val="right"/>
              <w:rPr>
                <w:rFonts w:ascii="Cambria" w:hAnsi="Cambria" w:cs="Arial"/>
                <w:color w:val="000000"/>
              </w:rPr>
            </w:pPr>
            <w:r>
              <w:rPr>
                <w:rFonts w:ascii="Cambria" w:hAnsi="Cambria" w:cs="Arial"/>
                <w:color w:val="000000"/>
              </w:rPr>
              <w:t>15.699</w:t>
            </w:r>
          </w:p>
        </w:tc>
        <w:tc>
          <w:tcPr>
            <w:tcW w:w="1575" w:type="dxa"/>
            <w:tcBorders>
              <w:top w:val="nil"/>
              <w:left w:val="nil"/>
              <w:bottom w:val="single" w:sz="8" w:space="0" w:color="auto"/>
              <w:right w:val="single" w:sz="8" w:space="0" w:color="auto"/>
            </w:tcBorders>
            <w:shd w:val="clear" w:color="auto" w:fill="auto"/>
            <w:noWrap/>
            <w:vAlign w:val="center"/>
            <w:hideMark/>
          </w:tcPr>
          <w:p w:rsidR="006F65B1" w:rsidRDefault="006F65B1" w:rsidP="00F42E0C">
            <w:pPr>
              <w:jc w:val="right"/>
              <w:rPr>
                <w:rFonts w:ascii="Cambria" w:hAnsi="Cambria" w:cs="Arial"/>
                <w:color w:val="000000"/>
              </w:rPr>
            </w:pPr>
            <w:r>
              <w:rPr>
                <w:rFonts w:ascii="Cambria" w:hAnsi="Cambria" w:cs="Arial"/>
                <w:color w:val="000000"/>
              </w:rPr>
              <w:t>18.891</w:t>
            </w:r>
          </w:p>
        </w:tc>
        <w:tc>
          <w:tcPr>
            <w:tcW w:w="1575" w:type="dxa"/>
            <w:tcBorders>
              <w:top w:val="nil"/>
              <w:left w:val="nil"/>
              <w:bottom w:val="single" w:sz="8" w:space="0" w:color="auto"/>
              <w:right w:val="single" w:sz="8" w:space="0" w:color="auto"/>
            </w:tcBorders>
            <w:shd w:val="clear" w:color="auto" w:fill="auto"/>
            <w:noWrap/>
            <w:vAlign w:val="center"/>
            <w:hideMark/>
          </w:tcPr>
          <w:p w:rsidR="006F65B1" w:rsidRDefault="006F3B71" w:rsidP="00F42E0C">
            <w:pPr>
              <w:jc w:val="right"/>
              <w:rPr>
                <w:rFonts w:ascii="Cambria" w:hAnsi="Cambria" w:cs="Arial"/>
                <w:color w:val="000000"/>
              </w:rPr>
            </w:pPr>
            <w:r>
              <w:rPr>
                <w:rFonts w:ascii="Cambria" w:hAnsi="Cambria" w:cs="Arial"/>
                <w:color w:val="000000"/>
              </w:rPr>
              <w:t>29.863</w:t>
            </w:r>
          </w:p>
        </w:tc>
        <w:tc>
          <w:tcPr>
            <w:tcW w:w="1575" w:type="dxa"/>
            <w:tcBorders>
              <w:top w:val="nil"/>
              <w:left w:val="nil"/>
              <w:bottom w:val="single" w:sz="8" w:space="0" w:color="auto"/>
              <w:right w:val="single" w:sz="8" w:space="0" w:color="auto"/>
            </w:tcBorders>
            <w:shd w:val="clear" w:color="auto" w:fill="auto"/>
            <w:noWrap/>
            <w:vAlign w:val="center"/>
            <w:hideMark/>
          </w:tcPr>
          <w:p w:rsidR="006F65B1" w:rsidRDefault="006F3B71">
            <w:pPr>
              <w:jc w:val="right"/>
              <w:rPr>
                <w:rFonts w:ascii="Cambria" w:hAnsi="Cambria" w:cs="Arial"/>
                <w:color w:val="000000"/>
              </w:rPr>
            </w:pPr>
            <w:r>
              <w:rPr>
                <w:rFonts w:ascii="Cambria" w:hAnsi="Cambria" w:cs="Arial"/>
                <w:color w:val="000000"/>
              </w:rPr>
              <w:t>35.557</w:t>
            </w:r>
          </w:p>
        </w:tc>
      </w:tr>
      <w:tr w:rsidR="006F65B1" w:rsidRPr="00852A4A" w:rsidTr="00852A4A">
        <w:trPr>
          <w:trHeight w:val="342"/>
        </w:trPr>
        <w:tc>
          <w:tcPr>
            <w:tcW w:w="3105" w:type="dxa"/>
            <w:tcBorders>
              <w:top w:val="nil"/>
              <w:left w:val="single" w:sz="8" w:space="0" w:color="auto"/>
              <w:bottom w:val="single" w:sz="8" w:space="0" w:color="auto"/>
              <w:right w:val="single" w:sz="8" w:space="0" w:color="auto"/>
            </w:tcBorders>
            <w:shd w:val="clear" w:color="auto" w:fill="auto"/>
            <w:noWrap/>
            <w:vAlign w:val="bottom"/>
            <w:hideMark/>
          </w:tcPr>
          <w:p w:rsidR="006F65B1" w:rsidRPr="00852A4A" w:rsidRDefault="006F65B1" w:rsidP="00875402">
            <w:pPr>
              <w:rPr>
                <w:rFonts w:ascii="Cambria" w:hAnsi="Cambria"/>
                <w:color w:val="000000"/>
              </w:rPr>
            </w:pPr>
            <w:r w:rsidRPr="00852A4A">
              <w:rPr>
                <w:rFonts w:ascii="Cambria" w:hAnsi="Cambria"/>
                <w:color w:val="000000"/>
              </w:rPr>
              <w:t>Allied Agro Industrial</w:t>
            </w:r>
          </w:p>
        </w:tc>
        <w:tc>
          <w:tcPr>
            <w:tcW w:w="1487" w:type="dxa"/>
            <w:tcBorders>
              <w:top w:val="nil"/>
              <w:left w:val="nil"/>
              <w:bottom w:val="single" w:sz="8" w:space="0" w:color="auto"/>
              <w:right w:val="single" w:sz="8" w:space="0" w:color="auto"/>
            </w:tcBorders>
            <w:shd w:val="clear" w:color="auto" w:fill="auto"/>
            <w:noWrap/>
            <w:vAlign w:val="center"/>
            <w:hideMark/>
          </w:tcPr>
          <w:p w:rsidR="006F65B1" w:rsidRDefault="006F65B1" w:rsidP="00F42E0C">
            <w:pPr>
              <w:jc w:val="right"/>
              <w:rPr>
                <w:rFonts w:ascii="Cambria" w:hAnsi="Cambria" w:cs="Arial"/>
                <w:color w:val="000000"/>
              </w:rPr>
            </w:pPr>
            <w:r>
              <w:rPr>
                <w:rFonts w:ascii="Cambria" w:hAnsi="Cambria" w:cs="Arial"/>
                <w:color w:val="000000"/>
              </w:rPr>
              <w:t>1.202</w:t>
            </w:r>
          </w:p>
        </w:tc>
        <w:tc>
          <w:tcPr>
            <w:tcW w:w="1575" w:type="dxa"/>
            <w:tcBorders>
              <w:top w:val="nil"/>
              <w:left w:val="nil"/>
              <w:bottom w:val="single" w:sz="8" w:space="0" w:color="auto"/>
              <w:right w:val="single" w:sz="8" w:space="0" w:color="auto"/>
            </w:tcBorders>
            <w:shd w:val="clear" w:color="auto" w:fill="auto"/>
            <w:noWrap/>
            <w:vAlign w:val="center"/>
            <w:hideMark/>
          </w:tcPr>
          <w:p w:rsidR="006F65B1" w:rsidRDefault="006F65B1" w:rsidP="00F42E0C">
            <w:pPr>
              <w:jc w:val="right"/>
              <w:rPr>
                <w:rFonts w:ascii="Cambria" w:hAnsi="Cambria" w:cs="Arial"/>
                <w:color w:val="000000"/>
              </w:rPr>
            </w:pPr>
            <w:r>
              <w:rPr>
                <w:rFonts w:ascii="Cambria" w:hAnsi="Cambria" w:cs="Arial"/>
                <w:color w:val="000000"/>
              </w:rPr>
              <w:t>0.954</w:t>
            </w:r>
          </w:p>
        </w:tc>
        <w:tc>
          <w:tcPr>
            <w:tcW w:w="1575" w:type="dxa"/>
            <w:tcBorders>
              <w:top w:val="nil"/>
              <w:left w:val="nil"/>
              <w:bottom w:val="single" w:sz="8" w:space="0" w:color="auto"/>
              <w:right w:val="single" w:sz="8" w:space="0" w:color="auto"/>
            </w:tcBorders>
            <w:shd w:val="clear" w:color="auto" w:fill="auto"/>
            <w:noWrap/>
            <w:vAlign w:val="center"/>
            <w:hideMark/>
          </w:tcPr>
          <w:p w:rsidR="006F65B1" w:rsidRDefault="006F3B71" w:rsidP="00F42E0C">
            <w:pPr>
              <w:jc w:val="right"/>
              <w:rPr>
                <w:rFonts w:ascii="Cambria" w:hAnsi="Cambria" w:cs="Arial"/>
                <w:color w:val="000000"/>
              </w:rPr>
            </w:pPr>
            <w:r>
              <w:rPr>
                <w:rFonts w:ascii="Cambria" w:hAnsi="Cambria" w:cs="Arial"/>
                <w:color w:val="000000"/>
              </w:rPr>
              <w:t>1.410</w:t>
            </w:r>
          </w:p>
        </w:tc>
        <w:tc>
          <w:tcPr>
            <w:tcW w:w="1575" w:type="dxa"/>
            <w:tcBorders>
              <w:top w:val="nil"/>
              <w:left w:val="nil"/>
              <w:bottom w:val="single" w:sz="8" w:space="0" w:color="auto"/>
              <w:right w:val="single" w:sz="8" w:space="0" w:color="auto"/>
            </w:tcBorders>
            <w:shd w:val="clear" w:color="auto" w:fill="auto"/>
            <w:noWrap/>
            <w:vAlign w:val="center"/>
            <w:hideMark/>
          </w:tcPr>
          <w:p w:rsidR="006F65B1" w:rsidRDefault="006F3B71">
            <w:pPr>
              <w:jc w:val="right"/>
              <w:rPr>
                <w:rFonts w:ascii="Cambria" w:hAnsi="Cambria" w:cs="Arial"/>
                <w:color w:val="000000"/>
              </w:rPr>
            </w:pPr>
            <w:r>
              <w:rPr>
                <w:rFonts w:ascii="Cambria" w:hAnsi="Cambria" w:cs="Arial"/>
                <w:color w:val="000000"/>
              </w:rPr>
              <w:t>1.837</w:t>
            </w:r>
          </w:p>
        </w:tc>
      </w:tr>
      <w:tr w:rsidR="006F65B1" w:rsidRPr="00852A4A" w:rsidTr="00852A4A">
        <w:trPr>
          <w:trHeight w:val="342"/>
        </w:trPr>
        <w:tc>
          <w:tcPr>
            <w:tcW w:w="3105" w:type="dxa"/>
            <w:tcBorders>
              <w:top w:val="nil"/>
              <w:left w:val="single" w:sz="8" w:space="0" w:color="auto"/>
              <w:bottom w:val="single" w:sz="8" w:space="0" w:color="auto"/>
              <w:right w:val="single" w:sz="8" w:space="0" w:color="auto"/>
            </w:tcBorders>
            <w:shd w:val="clear" w:color="auto" w:fill="auto"/>
            <w:noWrap/>
            <w:vAlign w:val="bottom"/>
            <w:hideMark/>
          </w:tcPr>
          <w:p w:rsidR="006F65B1" w:rsidRPr="00852A4A" w:rsidRDefault="006F65B1" w:rsidP="00875402">
            <w:pPr>
              <w:rPr>
                <w:rFonts w:ascii="Cambria" w:hAnsi="Cambria"/>
                <w:color w:val="000000"/>
              </w:rPr>
            </w:pPr>
            <w:r w:rsidRPr="00852A4A">
              <w:rPr>
                <w:rFonts w:ascii="Cambria" w:hAnsi="Cambria"/>
                <w:color w:val="000000"/>
              </w:rPr>
              <w:t>LT Industrial</w:t>
            </w:r>
          </w:p>
        </w:tc>
        <w:tc>
          <w:tcPr>
            <w:tcW w:w="1487" w:type="dxa"/>
            <w:tcBorders>
              <w:top w:val="nil"/>
              <w:left w:val="nil"/>
              <w:bottom w:val="single" w:sz="8" w:space="0" w:color="auto"/>
              <w:right w:val="single" w:sz="8" w:space="0" w:color="auto"/>
            </w:tcBorders>
            <w:shd w:val="clear" w:color="auto" w:fill="auto"/>
            <w:noWrap/>
            <w:vAlign w:val="center"/>
            <w:hideMark/>
          </w:tcPr>
          <w:p w:rsidR="006F65B1" w:rsidRDefault="006F65B1" w:rsidP="00F42E0C">
            <w:pPr>
              <w:jc w:val="right"/>
              <w:rPr>
                <w:rFonts w:ascii="Cambria" w:hAnsi="Cambria" w:cs="Arial"/>
                <w:color w:val="000000"/>
              </w:rPr>
            </w:pPr>
            <w:r>
              <w:rPr>
                <w:rFonts w:ascii="Cambria" w:hAnsi="Cambria" w:cs="Arial"/>
                <w:color w:val="000000"/>
              </w:rPr>
              <w:t>64.013</w:t>
            </w:r>
          </w:p>
        </w:tc>
        <w:tc>
          <w:tcPr>
            <w:tcW w:w="1575" w:type="dxa"/>
            <w:tcBorders>
              <w:top w:val="nil"/>
              <w:left w:val="nil"/>
              <w:bottom w:val="single" w:sz="8" w:space="0" w:color="auto"/>
              <w:right w:val="single" w:sz="8" w:space="0" w:color="auto"/>
            </w:tcBorders>
            <w:shd w:val="clear" w:color="auto" w:fill="auto"/>
            <w:noWrap/>
            <w:vAlign w:val="center"/>
            <w:hideMark/>
          </w:tcPr>
          <w:p w:rsidR="006F65B1" w:rsidRDefault="006F3B71" w:rsidP="00F42E0C">
            <w:pPr>
              <w:jc w:val="right"/>
              <w:rPr>
                <w:rFonts w:ascii="Cambria" w:hAnsi="Cambria" w:cs="Arial"/>
                <w:color w:val="000000"/>
              </w:rPr>
            </w:pPr>
            <w:r>
              <w:rPr>
                <w:rFonts w:ascii="Cambria" w:hAnsi="Cambria" w:cs="Arial"/>
                <w:color w:val="000000"/>
              </w:rPr>
              <w:t>66.220</w:t>
            </w:r>
          </w:p>
        </w:tc>
        <w:tc>
          <w:tcPr>
            <w:tcW w:w="1575" w:type="dxa"/>
            <w:tcBorders>
              <w:top w:val="nil"/>
              <w:left w:val="nil"/>
              <w:bottom w:val="single" w:sz="8" w:space="0" w:color="auto"/>
              <w:right w:val="single" w:sz="8" w:space="0" w:color="auto"/>
            </w:tcBorders>
            <w:shd w:val="clear" w:color="auto" w:fill="auto"/>
            <w:noWrap/>
            <w:vAlign w:val="center"/>
            <w:hideMark/>
          </w:tcPr>
          <w:p w:rsidR="006F65B1" w:rsidRDefault="006F3B71" w:rsidP="00F42E0C">
            <w:pPr>
              <w:jc w:val="right"/>
              <w:rPr>
                <w:rFonts w:ascii="Cambria" w:hAnsi="Cambria" w:cs="Arial"/>
                <w:color w:val="000000"/>
              </w:rPr>
            </w:pPr>
            <w:r>
              <w:rPr>
                <w:rFonts w:ascii="Cambria" w:hAnsi="Cambria" w:cs="Arial"/>
                <w:color w:val="000000"/>
              </w:rPr>
              <w:t>71.970</w:t>
            </w:r>
          </w:p>
        </w:tc>
        <w:tc>
          <w:tcPr>
            <w:tcW w:w="1575" w:type="dxa"/>
            <w:tcBorders>
              <w:top w:val="nil"/>
              <w:left w:val="nil"/>
              <w:bottom w:val="single" w:sz="8" w:space="0" w:color="auto"/>
              <w:right w:val="single" w:sz="8" w:space="0" w:color="auto"/>
            </w:tcBorders>
            <w:shd w:val="clear" w:color="auto" w:fill="auto"/>
            <w:noWrap/>
            <w:vAlign w:val="center"/>
            <w:hideMark/>
          </w:tcPr>
          <w:p w:rsidR="006F65B1" w:rsidRDefault="006F3B71">
            <w:pPr>
              <w:jc w:val="right"/>
              <w:rPr>
                <w:rFonts w:ascii="Cambria" w:hAnsi="Cambria" w:cs="Arial"/>
                <w:color w:val="000000"/>
              </w:rPr>
            </w:pPr>
            <w:r>
              <w:rPr>
                <w:rFonts w:ascii="Cambria" w:hAnsi="Cambria" w:cs="Arial"/>
                <w:color w:val="000000"/>
              </w:rPr>
              <w:t>76.572</w:t>
            </w:r>
          </w:p>
        </w:tc>
      </w:tr>
      <w:tr w:rsidR="006F65B1" w:rsidRPr="00852A4A" w:rsidTr="00852A4A">
        <w:trPr>
          <w:trHeight w:val="342"/>
        </w:trPr>
        <w:tc>
          <w:tcPr>
            <w:tcW w:w="3105" w:type="dxa"/>
            <w:tcBorders>
              <w:top w:val="nil"/>
              <w:left w:val="single" w:sz="8" w:space="0" w:color="auto"/>
              <w:bottom w:val="single" w:sz="8" w:space="0" w:color="auto"/>
              <w:right w:val="single" w:sz="8" w:space="0" w:color="auto"/>
            </w:tcBorders>
            <w:shd w:val="clear" w:color="auto" w:fill="auto"/>
            <w:noWrap/>
            <w:vAlign w:val="bottom"/>
            <w:hideMark/>
          </w:tcPr>
          <w:p w:rsidR="006F65B1" w:rsidRPr="00852A4A" w:rsidRDefault="006F65B1" w:rsidP="00875402">
            <w:pPr>
              <w:rPr>
                <w:rFonts w:ascii="Cambria" w:hAnsi="Cambria"/>
                <w:color w:val="000000"/>
              </w:rPr>
            </w:pPr>
            <w:r w:rsidRPr="00852A4A">
              <w:rPr>
                <w:rFonts w:ascii="Cambria" w:hAnsi="Cambria"/>
                <w:color w:val="000000"/>
              </w:rPr>
              <w:t>Public water works</w:t>
            </w:r>
          </w:p>
        </w:tc>
        <w:tc>
          <w:tcPr>
            <w:tcW w:w="1487" w:type="dxa"/>
            <w:tcBorders>
              <w:top w:val="nil"/>
              <w:left w:val="nil"/>
              <w:bottom w:val="single" w:sz="8" w:space="0" w:color="auto"/>
              <w:right w:val="single" w:sz="8" w:space="0" w:color="auto"/>
            </w:tcBorders>
            <w:shd w:val="clear" w:color="auto" w:fill="auto"/>
            <w:noWrap/>
            <w:vAlign w:val="center"/>
            <w:hideMark/>
          </w:tcPr>
          <w:p w:rsidR="006F65B1" w:rsidRDefault="006F65B1" w:rsidP="00F42E0C">
            <w:pPr>
              <w:jc w:val="right"/>
              <w:rPr>
                <w:rFonts w:ascii="Cambria" w:hAnsi="Cambria" w:cs="Arial"/>
                <w:color w:val="000000"/>
              </w:rPr>
            </w:pPr>
            <w:r>
              <w:rPr>
                <w:rFonts w:ascii="Cambria" w:hAnsi="Cambria" w:cs="Arial"/>
                <w:color w:val="000000"/>
              </w:rPr>
              <w:t>28.186</w:t>
            </w:r>
          </w:p>
        </w:tc>
        <w:tc>
          <w:tcPr>
            <w:tcW w:w="1575" w:type="dxa"/>
            <w:tcBorders>
              <w:top w:val="nil"/>
              <w:left w:val="nil"/>
              <w:bottom w:val="single" w:sz="8" w:space="0" w:color="auto"/>
              <w:right w:val="single" w:sz="8" w:space="0" w:color="auto"/>
            </w:tcBorders>
            <w:shd w:val="clear" w:color="auto" w:fill="auto"/>
            <w:noWrap/>
            <w:vAlign w:val="center"/>
            <w:hideMark/>
          </w:tcPr>
          <w:p w:rsidR="006F65B1" w:rsidRDefault="006F3B71" w:rsidP="00F42E0C">
            <w:pPr>
              <w:jc w:val="right"/>
              <w:rPr>
                <w:rFonts w:ascii="Cambria" w:hAnsi="Cambria" w:cs="Arial"/>
                <w:color w:val="000000"/>
              </w:rPr>
            </w:pPr>
            <w:r>
              <w:rPr>
                <w:rFonts w:ascii="Cambria" w:hAnsi="Cambria" w:cs="Arial"/>
                <w:color w:val="000000"/>
              </w:rPr>
              <w:t>29.606</w:t>
            </w:r>
          </w:p>
        </w:tc>
        <w:tc>
          <w:tcPr>
            <w:tcW w:w="1575" w:type="dxa"/>
            <w:tcBorders>
              <w:top w:val="nil"/>
              <w:left w:val="nil"/>
              <w:bottom w:val="single" w:sz="8" w:space="0" w:color="auto"/>
              <w:right w:val="single" w:sz="8" w:space="0" w:color="auto"/>
            </w:tcBorders>
            <w:shd w:val="clear" w:color="auto" w:fill="auto"/>
            <w:noWrap/>
            <w:vAlign w:val="center"/>
            <w:hideMark/>
          </w:tcPr>
          <w:p w:rsidR="006F65B1" w:rsidRDefault="006F3B71" w:rsidP="00F42E0C">
            <w:pPr>
              <w:jc w:val="right"/>
              <w:rPr>
                <w:rFonts w:ascii="Cambria" w:hAnsi="Cambria" w:cs="Arial"/>
                <w:color w:val="000000"/>
              </w:rPr>
            </w:pPr>
            <w:r>
              <w:rPr>
                <w:rFonts w:ascii="Cambria" w:hAnsi="Cambria" w:cs="Arial"/>
                <w:color w:val="000000"/>
              </w:rPr>
              <w:t>36.031</w:t>
            </w:r>
          </w:p>
        </w:tc>
        <w:tc>
          <w:tcPr>
            <w:tcW w:w="1575" w:type="dxa"/>
            <w:tcBorders>
              <w:top w:val="nil"/>
              <w:left w:val="nil"/>
              <w:bottom w:val="single" w:sz="8" w:space="0" w:color="auto"/>
              <w:right w:val="single" w:sz="8" w:space="0" w:color="auto"/>
            </w:tcBorders>
            <w:shd w:val="clear" w:color="auto" w:fill="auto"/>
            <w:noWrap/>
            <w:vAlign w:val="center"/>
            <w:hideMark/>
          </w:tcPr>
          <w:p w:rsidR="006F65B1" w:rsidRDefault="006F3B71">
            <w:pPr>
              <w:jc w:val="right"/>
              <w:rPr>
                <w:rFonts w:ascii="Cambria" w:hAnsi="Cambria" w:cs="Arial"/>
                <w:color w:val="000000"/>
              </w:rPr>
            </w:pPr>
            <w:r>
              <w:rPr>
                <w:rFonts w:ascii="Cambria" w:hAnsi="Cambria" w:cs="Arial"/>
                <w:color w:val="000000"/>
              </w:rPr>
              <w:t>44.897</w:t>
            </w:r>
          </w:p>
        </w:tc>
      </w:tr>
      <w:tr w:rsidR="006F65B1" w:rsidRPr="00852A4A" w:rsidTr="00852A4A">
        <w:trPr>
          <w:trHeight w:val="342"/>
        </w:trPr>
        <w:tc>
          <w:tcPr>
            <w:tcW w:w="3105" w:type="dxa"/>
            <w:tcBorders>
              <w:top w:val="nil"/>
              <w:left w:val="single" w:sz="8" w:space="0" w:color="auto"/>
              <w:bottom w:val="single" w:sz="8" w:space="0" w:color="auto"/>
              <w:right w:val="single" w:sz="8" w:space="0" w:color="auto"/>
            </w:tcBorders>
            <w:shd w:val="clear" w:color="auto" w:fill="auto"/>
            <w:noWrap/>
            <w:vAlign w:val="bottom"/>
            <w:hideMark/>
          </w:tcPr>
          <w:p w:rsidR="006F65B1" w:rsidRPr="00852A4A" w:rsidRDefault="006F65B1" w:rsidP="00875402">
            <w:pPr>
              <w:rPr>
                <w:rFonts w:ascii="Cambria" w:hAnsi="Cambria"/>
                <w:color w:val="000000"/>
              </w:rPr>
            </w:pPr>
            <w:r w:rsidRPr="00852A4A">
              <w:rPr>
                <w:rFonts w:ascii="Cambria" w:hAnsi="Cambria"/>
                <w:color w:val="000000"/>
              </w:rPr>
              <w:lastRenderedPageBreak/>
              <w:t>Public Lighting</w:t>
            </w:r>
          </w:p>
        </w:tc>
        <w:tc>
          <w:tcPr>
            <w:tcW w:w="1487" w:type="dxa"/>
            <w:tcBorders>
              <w:top w:val="nil"/>
              <w:left w:val="nil"/>
              <w:bottom w:val="single" w:sz="8" w:space="0" w:color="auto"/>
              <w:right w:val="single" w:sz="8" w:space="0" w:color="auto"/>
            </w:tcBorders>
            <w:shd w:val="clear" w:color="auto" w:fill="auto"/>
            <w:noWrap/>
            <w:vAlign w:val="center"/>
            <w:hideMark/>
          </w:tcPr>
          <w:p w:rsidR="006F65B1" w:rsidRDefault="006F65B1" w:rsidP="00F42E0C">
            <w:pPr>
              <w:jc w:val="right"/>
              <w:rPr>
                <w:rFonts w:ascii="Cambria" w:hAnsi="Cambria" w:cs="Arial"/>
                <w:color w:val="000000"/>
              </w:rPr>
            </w:pPr>
            <w:r>
              <w:rPr>
                <w:rFonts w:ascii="Cambria" w:hAnsi="Cambria" w:cs="Arial"/>
                <w:color w:val="000000"/>
              </w:rPr>
              <w:t>10.928</w:t>
            </w:r>
          </w:p>
        </w:tc>
        <w:tc>
          <w:tcPr>
            <w:tcW w:w="1575" w:type="dxa"/>
            <w:tcBorders>
              <w:top w:val="nil"/>
              <w:left w:val="nil"/>
              <w:bottom w:val="single" w:sz="8" w:space="0" w:color="auto"/>
              <w:right w:val="single" w:sz="8" w:space="0" w:color="auto"/>
            </w:tcBorders>
            <w:shd w:val="clear" w:color="auto" w:fill="auto"/>
            <w:noWrap/>
            <w:vAlign w:val="center"/>
            <w:hideMark/>
          </w:tcPr>
          <w:p w:rsidR="006F65B1" w:rsidRDefault="006F3B71" w:rsidP="00F42E0C">
            <w:pPr>
              <w:jc w:val="right"/>
              <w:rPr>
                <w:rFonts w:ascii="Cambria" w:hAnsi="Cambria" w:cs="Arial"/>
                <w:color w:val="000000"/>
              </w:rPr>
            </w:pPr>
            <w:r>
              <w:rPr>
                <w:rFonts w:ascii="Cambria" w:hAnsi="Cambria" w:cs="Arial"/>
                <w:color w:val="000000"/>
              </w:rPr>
              <w:t>15.197</w:t>
            </w:r>
          </w:p>
        </w:tc>
        <w:tc>
          <w:tcPr>
            <w:tcW w:w="1575" w:type="dxa"/>
            <w:tcBorders>
              <w:top w:val="nil"/>
              <w:left w:val="nil"/>
              <w:bottom w:val="single" w:sz="8" w:space="0" w:color="auto"/>
              <w:right w:val="single" w:sz="8" w:space="0" w:color="auto"/>
            </w:tcBorders>
            <w:shd w:val="clear" w:color="auto" w:fill="auto"/>
            <w:noWrap/>
            <w:vAlign w:val="center"/>
            <w:hideMark/>
          </w:tcPr>
          <w:p w:rsidR="006F65B1" w:rsidRDefault="006F3B71" w:rsidP="00F42E0C">
            <w:pPr>
              <w:jc w:val="right"/>
              <w:rPr>
                <w:rFonts w:ascii="Cambria" w:hAnsi="Cambria" w:cs="Arial"/>
                <w:color w:val="000000"/>
              </w:rPr>
            </w:pPr>
            <w:r>
              <w:rPr>
                <w:rFonts w:ascii="Cambria" w:hAnsi="Cambria" w:cs="Arial"/>
                <w:color w:val="000000"/>
              </w:rPr>
              <w:t>19.564</w:t>
            </w:r>
          </w:p>
        </w:tc>
        <w:tc>
          <w:tcPr>
            <w:tcW w:w="1575" w:type="dxa"/>
            <w:tcBorders>
              <w:top w:val="nil"/>
              <w:left w:val="nil"/>
              <w:bottom w:val="single" w:sz="8" w:space="0" w:color="auto"/>
              <w:right w:val="single" w:sz="8" w:space="0" w:color="auto"/>
            </w:tcBorders>
            <w:shd w:val="clear" w:color="auto" w:fill="auto"/>
            <w:noWrap/>
            <w:vAlign w:val="center"/>
            <w:hideMark/>
          </w:tcPr>
          <w:p w:rsidR="006F65B1" w:rsidRDefault="006F3B71">
            <w:pPr>
              <w:jc w:val="right"/>
              <w:rPr>
                <w:rFonts w:ascii="Cambria" w:hAnsi="Cambria" w:cs="Arial"/>
                <w:color w:val="000000"/>
              </w:rPr>
            </w:pPr>
            <w:r>
              <w:rPr>
                <w:rFonts w:ascii="Cambria" w:hAnsi="Cambria" w:cs="Arial"/>
                <w:color w:val="000000"/>
              </w:rPr>
              <w:t>28.250</w:t>
            </w:r>
          </w:p>
        </w:tc>
      </w:tr>
      <w:tr w:rsidR="006F65B1" w:rsidRPr="008F0724" w:rsidTr="00852A4A">
        <w:trPr>
          <w:trHeight w:val="342"/>
        </w:trPr>
        <w:tc>
          <w:tcPr>
            <w:tcW w:w="3105" w:type="dxa"/>
            <w:tcBorders>
              <w:top w:val="nil"/>
              <w:left w:val="single" w:sz="8" w:space="0" w:color="auto"/>
              <w:bottom w:val="single" w:sz="8" w:space="0" w:color="auto"/>
              <w:right w:val="single" w:sz="8" w:space="0" w:color="auto"/>
            </w:tcBorders>
            <w:shd w:val="clear" w:color="auto" w:fill="auto"/>
            <w:noWrap/>
            <w:vAlign w:val="bottom"/>
            <w:hideMark/>
          </w:tcPr>
          <w:p w:rsidR="006F65B1" w:rsidRPr="00852A4A" w:rsidRDefault="006F65B1" w:rsidP="00875402">
            <w:pPr>
              <w:jc w:val="center"/>
              <w:rPr>
                <w:rFonts w:ascii="Cambria" w:hAnsi="Cambria"/>
                <w:b/>
                <w:bCs/>
                <w:color w:val="000000"/>
              </w:rPr>
            </w:pPr>
            <w:r w:rsidRPr="00852A4A">
              <w:rPr>
                <w:rFonts w:ascii="Cambria" w:hAnsi="Cambria"/>
                <w:b/>
                <w:bCs/>
                <w:color w:val="000000"/>
              </w:rPr>
              <w:t>Total</w:t>
            </w:r>
          </w:p>
        </w:tc>
        <w:tc>
          <w:tcPr>
            <w:tcW w:w="1487" w:type="dxa"/>
            <w:tcBorders>
              <w:top w:val="nil"/>
              <w:left w:val="nil"/>
              <w:bottom w:val="single" w:sz="8" w:space="0" w:color="auto"/>
              <w:right w:val="single" w:sz="8" w:space="0" w:color="auto"/>
            </w:tcBorders>
            <w:shd w:val="clear" w:color="auto" w:fill="auto"/>
            <w:noWrap/>
            <w:vAlign w:val="center"/>
            <w:hideMark/>
          </w:tcPr>
          <w:p w:rsidR="006F65B1" w:rsidRDefault="006F65B1" w:rsidP="00F42E0C">
            <w:pPr>
              <w:jc w:val="right"/>
              <w:rPr>
                <w:rFonts w:ascii="Cambria" w:hAnsi="Cambria" w:cs="Arial"/>
                <w:b/>
                <w:bCs/>
                <w:color w:val="000000"/>
              </w:rPr>
            </w:pPr>
            <w:r>
              <w:rPr>
                <w:rFonts w:ascii="Cambria" w:hAnsi="Cambria" w:cs="Arial"/>
                <w:b/>
                <w:bCs/>
                <w:color w:val="000000"/>
              </w:rPr>
              <w:t>1795.472</w:t>
            </w:r>
          </w:p>
        </w:tc>
        <w:tc>
          <w:tcPr>
            <w:tcW w:w="1575" w:type="dxa"/>
            <w:tcBorders>
              <w:top w:val="nil"/>
              <w:left w:val="nil"/>
              <w:bottom w:val="single" w:sz="8" w:space="0" w:color="auto"/>
              <w:right w:val="single" w:sz="8" w:space="0" w:color="auto"/>
            </w:tcBorders>
            <w:shd w:val="clear" w:color="auto" w:fill="auto"/>
            <w:noWrap/>
            <w:vAlign w:val="center"/>
            <w:hideMark/>
          </w:tcPr>
          <w:p w:rsidR="006F65B1" w:rsidRDefault="006F3B71" w:rsidP="00F42E0C">
            <w:pPr>
              <w:jc w:val="right"/>
              <w:rPr>
                <w:rFonts w:ascii="Cambria" w:hAnsi="Cambria" w:cs="Arial"/>
                <w:b/>
                <w:bCs/>
                <w:color w:val="000000"/>
              </w:rPr>
            </w:pPr>
            <w:r>
              <w:rPr>
                <w:rFonts w:ascii="Cambria" w:hAnsi="Cambria" w:cs="Arial"/>
                <w:b/>
                <w:bCs/>
                <w:color w:val="000000"/>
              </w:rPr>
              <w:t>1920.550</w:t>
            </w:r>
          </w:p>
        </w:tc>
        <w:tc>
          <w:tcPr>
            <w:tcW w:w="1575" w:type="dxa"/>
            <w:tcBorders>
              <w:top w:val="nil"/>
              <w:left w:val="nil"/>
              <w:bottom w:val="single" w:sz="8" w:space="0" w:color="auto"/>
              <w:right w:val="single" w:sz="8" w:space="0" w:color="auto"/>
            </w:tcBorders>
            <w:shd w:val="clear" w:color="auto" w:fill="auto"/>
            <w:noWrap/>
            <w:vAlign w:val="center"/>
            <w:hideMark/>
          </w:tcPr>
          <w:p w:rsidR="006F65B1" w:rsidRDefault="006F3B71" w:rsidP="00F42E0C">
            <w:pPr>
              <w:jc w:val="right"/>
              <w:rPr>
                <w:rFonts w:ascii="Cambria" w:hAnsi="Cambria" w:cs="Arial"/>
                <w:b/>
                <w:bCs/>
                <w:color w:val="000000"/>
              </w:rPr>
            </w:pPr>
            <w:r>
              <w:rPr>
                <w:rFonts w:ascii="Cambria" w:hAnsi="Cambria" w:cs="Arial"/>
                <w:b/>
                <w:bCs/>
                <w:color w:val="000000"/>
              </w:rPr>
              <w:t>2369.439</w:t>
            </w:r>
          </w:p>
        </w:tc>
        <w:tc>
          <w:tcPr>
            <w:tcW w:w="1575" w:type="dxa"/>
            <w:tcBorders>
              <w:top w:val="nil"/>
              <w:left w:val="nil"/>
              <w:bottom w:val="single" w:sz="8" w:space="0" w:color="auto"/>
              <w:right w:val="single" w:sz="8" w:space="0" w:color="auto"/>
            </w:tcBorders>
            <w:shd w:val="clear" w:color="auto" w:fill="auto"/>
            <w:noWrap/>
            <w:vAlign w:val="center"/>
            <w:hideMark/>
          </w:tcPr>
          <w:p w:rsidR="006F65B1" w:rsidRDefault="006F3B71">
            <w:pPr>
              <w:jc w:val="right"/>
              <w:rPr>
                <w:rFonts w:ascii="Cambria" w:hAnsi="Cambria" w:cs="Arial"/>
                <w:b/>
                <w:bCs/>
                <w:color w:val="000000"/>
              </w:rPr>
            </w:pPr>
            <w:r>
              <w:rPr>
                <w:rFonts w:ascii="Cambria" w:hAnsi="Cambria" w:cs="Arial"/>
                <w:b/>
                <w:bCs/>
                <w:color w:val="000000"/>
              </w:rPr>
              <w:t>2714.849</w:t>
            </w:r>
          </w:p>
        </w:tc>
      </w:tr>
    </w:tbl>
    <w:p w:rsidR="002A6606" w:rsidRDefault="002A6606" w:rsidP="004276A0">
      <w:pPr>
        <w:pStyle w:val="BodyText2"/>
        <w:spacing w:before="0" w:after="0" w:line="360" w:lineRule="auto"/>
        <w:jc w:val="both"/>
        <w:rPr>
          <w:rFonts w:ascii="Cambria" w:hAnsi="Cambria"/>
          <w:b/>
          <w:sz w:val="8"/>
          <w:szCs w:val="8"/>
        </w:rPr>
      </w:pPr>
    </w:p>
    <w:p w:rsidR="00C97B44" w:rsidRPr="00B11294" w:rsidRDefault="00C97B44" w:rsidP="004276A0">
      <w:pPr>
        <w:pStyle w:val="BodyText2"/>
        <w:spacing w:before="0" w:after="0" w:line="360" w:lineRule="auto"/>
        <w:jc w:val="both"/>
        <w:rPr>
          <w:rFonts w:ascii="Cambria" w:hAnsi="Cambria"/>
          <w:b/>
          <w:sz w:val="8"/>
          <w:szCs w:val="8"/>
        </w:rPr>
      </w:pPr>
    </w:p>
    <w:p w:rsidR="004276A0" w:rsidRPr="00B11294" w:rsidRDefault="004276A0" w:rsidP="004276A0">
      <w:pPr>
        <w:pStyle w:val="BodyText2"/>
        <w:spacing w:before="0" w:after="0" w:line="360" w:lineRule="auto"/>
        <w:jc w:val="both"/>
        <w:rPr>
          <w:rFonts w:ascii="Cambria" w:hAnsi="Cambria"/>
          <w:b/>
          <w:sz w:val="24"/>
          <w:szCs w:val="24"/>
        </w:rPr>
      </w:pPr>
      <w:r w:rsidRPr="00B11294">
        <w:rPr>
          <w:rFonts w:ascii="Cambria" w:hAnsi="Cambria"/>
          <w:b/>
          <w:sz w:val="24"/>
          <w:szCs w:val="24"/>
        </w:rPr>
        <w:t xml:space="preserve">HT Category </w:t>
      </w:r>
    </w:p>
    <w:p w:rsidR="004276A0" w:rsidRPr="006F3B71" w:rsidRDefault="00C77FA8" w:rsidP="004276A0">
      <w:pPr>
        <w:pStyle w:val="BodyText2"/>
        <w:spacing w:line="360" w:lineRule="auto"/>
        <w:jc w:val="both"/>
        <w:rPr>
          <w:rFonts w:ascii="Cambria" w:hAnsi="Cambria"/>
          <w:sz w:val="24"/>
          <w:szCs w:val="24"/>
        </w:rPr>
      </w:pPr>
      <w:r w:rsidRPr="00B11294">
        <w:rPr>
          <w:rFonts w:ascii="Cambria" w:hAnsi="Cambria"/>
          <w:sz w:val="24"/>
          <w:szCs w:val="24"/>
        </w:rPr>
        <w:t xml:space="preserve">While </w:t>
      </w:r>
      <w:r w:rsidR="007C50C6" w:rsidRPr="00B11294">
        <w:rPr>
          <w:rFonts w:ascii="Cambria" w:hAnsi="Cambria"/>
          <w:sz w:val="24"/>
          <w:szCs w:val="24"/>
        </w:rPr>
        <w:t xml:space="preserve">projecting the sales in HT Category, the </w:t>
      </w:r>
      <w:r w:rsidR="006C38E9" w:rsidRPr="00B11294">
        <w:rPr>
          <w:rFonts w:ascii="Cambria" w:hAnsi="Cambria"/>
          <w:sz w:val="24"/>
          <w:szCs w:val="24"/>
        </w:rPr>
        <w:t>Utility</w:t>
      </w:r>
      <w:r w:rsidR="007C50C6" w:rsidRPr="00B11294">
        <w:rPr>
          <w:rFonts w:ascii="Cambria" w:hAnsi="Cambria"/>
          <w:sz w:val="24"/>
          <w:szCs w:val="24"/>
        </w:rPr>
        <w:t xml:space="preserve"> analyse</w:t>
      </w:r>
      <w:r w:rsidRPr="00B11294">
        <w:rPr>
          <w:rFonts w:ascii="Cambria" w:hAnsi="Cambria"/>
          <w:sz w:val="24"/>
          <w:szCs w:val="24"/>
        </w:rPr>
        <w:t>s</w:t>
      </w:r>
      <w:r w:rsidR="007C50C6" w:rsidRPr="00B11294">
        <w:rPr>
          <w:rFonts w:ascii="Cambria" w:hAnsi="Cambria"/>
          <w:sz w:val="24"/>
          <w:szCs w:val="24"/>
        </w:rPr>
        <w:t xml:space="preserve"> the consumption pattern of each HT consumer</w:t>
      </w:r>
      <w:r w:rsidR="000E51D7" w:rsidRPr="00B11294">
        <w:rPr>
          <w:rFonts w:ascii="Cambria" w:hAnsi="Cambria"/>
          <w:sz w:val="24"/>
          <w:szCs w:val="24"/>
        </w:rPr>
        <w:t xml:space="preserve"> with contract demand of more than 1 MVA</w:t>
      </w:r>
      <w:r w:rsidR="007C50C6" w:rsidRPr="00B11294">
        <w:rPr>
          <w:rFonts w:ascii="Cambria" w:hAnsi="Cambria"/>
          <w:sz w:val="24"/>
          <w:szCs w:val="24"/>
        </w:rPr>
        <w:t xml:space="preserve">. </w:t>
      </w:r>
      <w:r w:rsidR="004276A0" w:rsidRPr="00B11294">
        <w:rPr>
          <w:rFonts w:ascii="Cambria" w:hAnsi="Cambria"/>
          <w:sz w:val="24"/>
          <w:szCs w:val="24"/>
        </w:rPr>
        <w:t xml:space="preserve">The average sale </w:t>
      </w:r>
      <w:r w:rsidRPr="00B11294">
        <w:rPr>
          <w:rFonts w:ascii="Cambria" w:hAnsi="Cambria"/>
          <w:sz w:val="24"/>
          <w:szCs w:val="24"/>
        </w:rPr>
        <w:t xml:space="preserve">under </w:t>
      </w:r>
      <w:r w:rsidR="004276A0" w:rsidRPr="00B11294">
        <w:rPr>
          <w:rFonts w:ascii="Cambria" w:hAnsi="Cambria"/>
          <w:sz w:val="24"/>
          <w:szCs w:val="24"/>
        </w:rPr>
        <w:t>HT category consumers has been estimated for the ensuing year and is based on the trend of the FY 201</w:t>
      </w:r>
      <w:r w:rsidR="00092DDD" w:rsidRPr="00B11294">
        <w:rPr>
          <w:rFonts w:ascii="Cambria" w:hAnsi="Cambria"/>
          <w:sz w:val="24"/>
          <w:szCs w:val="24"/>
        </w:rPr>
        <w:t>8</w:t>
      </w:r>
      <w:r w:rsidR="004276A0" w:rsidRPr="00B11294">
        <w:rPr>
          <w:rFonts w:ascii="Cambria" w:hAnsi="Cambria"/>
          <w:sz w:val="24"/>
          <w:szCs w:val="24"/>
        </w:rPr>
        <w:t>-1</w:t>
      </w:r>
      <w:r w:rsidR="00092DDD" w:rsidRPr="00B11294">
        <w:rPr>
          <w:rFonts w:ascii="Cambria" w:hAnsi="Cambria"/>
          <w:sz w:val="24"/>
          <w:szCs w:val="24"/>
        </w:rPr>
        <w:t>9</w:t>
      </w:r>
      <w:r w:rsidR="004276A0" w:rsidRPr="00B11294">
        <w:rPr>
          <w:rFonts w:ascii="Cambria" w:hAnsi="Cambria"/>
          <w:sz w:val="24"/>
          <w:szCs w:val="24"/>
        </w:rPr>
        <w:t xml:space="preserve"> and actual </w:t>
      </w:r>
      <w:r w:rsidR="00C97B44" w:rsidRPr="00B11294">
        <w:rPr>
          <w:rFonts w:ascii="Cambria" w:hAnsi="Cambria"/>
          <w:sz w:val="24"/>
          <w:szCs w:val="24"/>
        </w:rPr>
        <w:t>drawl</w:t>
      </w:r>
      <w:r w:rsidR="004276A0" w:rsidRPr="00B11294">
        <w:rPr>
          <w:rFonts w:ascii="Cambria" w:hAnsi="Cambria"/>
          <w:sz w:val="24"/>
          <w:szCs w:val="24"/>
        </w:rPr>
        <w:t xml:space="preserve"> for the </w:t>
      </w:r>
      <w:r w:rsidRPr="00B11294">
        <w:rPr>
          <w:rFonts w:ascii="Cambria" w:hAnsi="Cambria"/>
          <w:sz w:val="24"/>
          <w:szCs w:val="24"/>
        </w:rPr>
        <w:t>1</w:t>
      </w:r>
      <w:r w:rsidRPr="00B11294">
        <w:rPr>
          <w:rFonts w:ascii="Cambria" w:hAnsi="Cambria"/>
          <w:sz w:val="24"/>
          <w:szCs w:val="24"/>
          <w:vertAlign w:val="superscript"/>
        </w:rPr>
        <w:t>st</w:t>
      </w:r>
      <w:r w:rsidRPr="00B11294">
        <w:rPr>
          <w:rFonts w:ascii="Cambria" w:hAnsi="Cambria"/>
          <w:sz w:val="24"/>
          <w:szCs w:val="24"/>
        </w:rPr>
        <w:t xml:space="preserve"> six month of current </w:t>
      </w:r>
      <w:r w:rsidR="004276A0" w:rsidRPr="00B11294">
        <w:rPr>
          <w:rFonts w:ascii="Cambria" w:hAnsi="Cambria"/>
          <w:sz w:val="24"/>
          <w:szCs w:val="24"/>
        </w:rPr>
        <w:t>year ending Sept’1</w:t>
      </w:r>
      <w:r w:rsidR="00092DDD" w:rsidRPr="00B11294">
        <w:rPr>
          <w:rFonts w:ascii="Cambria" w:hAnsi="Cambria"/>
          <w:sz w:val="24"/>
          <w:szCs w:val="24"/>
        </w:rPr>
        <w:t>9</w:t>
      </w:r>
      <w:r w:rsidR="004276A0" w:rsidRPr="00B11294">
        <w:rPr>
          <w:rFonts w:ascii="Cambria" w:hAnsi="Cambria"/>
          <w:sz w:val="24"/>
          <w:szCs w:val="24"/>
        </w:rPr>
        <w:t xml:space="preserve">. The sales in this category are not </w:t>
      </w:r>
      <w:r w:rsidR="009F630A" w:rsidRPr="00B11294">
        <w:rPr>
          <w:rFonts w:ascii="Cambria" w:hAnsi="Cambria"/>
          <w:sz w:val="24"/>
          <w:szCs w:val="24"/>
        </w:rPr>
        <w:t xml:space="preserve">yet revived </w:t>
      </w:r>
      <w:r w:rsidR="004276A0" w:rsidRPr="00B11294">
        <w:rPr>
          <w:rFonts w:ascii="Cambria" w:hAnsi="Cambria"/>
          <w:sz w:val="24"/>
          <w:szCs w:val="24"/>
        </w:rPr>
        <w:t>on account of recession in steel &amp; mining sector</w:t>
      </w:r>
      <w:r w:rsidR="009F630A" w:rsidRPr="00B11294">
        <w:rPr>
          <w:rFonts w:ascii="Cambria" w:hAnsi="Cambria"/>
          <w:sz w:val="24"/>
          <w:szCs w:val="24"/>
        </w:rPr>
        <w:t>,</w:t>
      </w:r>
      <w:r w:rsidR="004276A0" w:rsidRPr="00B11294">
        <w:rPr>
          <w:rFonts w:ascii="Cambria" w:hAnsi="Cambria"/>
          <w:sz w:val="24"/>
          <w:szCs w:val="24"/>
        </w:rPr>
        <w:t xml:space="preserve"> industrial slowdown and temporary closure/disconnection of steel </w:t>
      </w:r>
      <w:r w:rsidR="00285D79" w:rsidRPr="00B11294">
        <w:rPr>
          <w:rFonts w:ascii="Cambria" w:hAnsi="Cambria"/>
          <w:sz w:val="24"/>
          <w:szCs w:val="24"/>
        </w:rPr>
        <w:t xml:space="preserve">and </w:t>
      </w:r>
      <w:r w:rsidR="004276A0" w:rsidRPr="00B11294">
        <w:rPr>
          <w:rFonts w:ascii="Cambria" w:hAnsi="Cambria"/>
          <w:sz w:val="24"/>
          <w:szCs w:val="24"/>
        </w:rPr>
        <w:t>m</w:t>
      </w:r>
      <w:r w:rsidR="00285D79" w:rsidRPr="00B11294">
        <w:rPr>
          <w:rFonts w:ascii="Cambria" w:hAnsi="Cambria"/>
          <w:sz w:val="24"/>
          <w:szCs w:val="24"/>
        </w:rPr>
        <w:t xml:space="preserve">ining </w:t>
      </w:r>
      <w:r w:rsidR="004276A0" w:rsidRPr="00B11294">
        <w:rPr>
          <w:rFonts w:ascii="Cambria" w:hAnsi="Cambria"/>
          <w:sz w:val="24"/>
          <w:szCs w:val="24"/>
        </w:rPr>
        <w:t>industries.</w:t>
      </w:r>
      <w:r w:rsidR="00735105" w:rsidRPr="00B11294">
        <w:rPr>
          <w:rFonts w:ascii="Cambria" w:hAnsi="Cambria"/>
          <w:sz w:val="24"/>
          <w:szCs w:val="24"/>
        </w:rPr>
        <w:t xml:space="preserve"> </w:t>
      </w:r>
      <w:r w:rsidR="009979ED" w:rsidRPr="00B11294">
        <w:rPr>
          <w:rFonts w:ascii="Cambria" w:hAnsi="Cambria"/>
          <w:sz w:val="24"/>
          <w:szCs w:val="24"/>
        </w:rPr>
        <w:t xml:space="preserve">The consumption of only power intensive industry in this category M/s IDCOL Ferrochrome has been reduced </w:t>
      </w:r>
      <w:r w:rsidR="00092DDD" w:rsidRPr="00B11294">
        <w:rPr>
          <w:rFonts w:ascii="Cambria" w:hAnsi="Cambria"/>
          <w:sz w:val="24"/>
          <w:szCs w:val="24"/>
        </w:rPr>
        <w:t xml:space="preserve">drastically </w:t>
      </w:r>
      <w:r w:rsidR="00B11294">
        <w:rPr>
          <w:rFonts w:ascii="Cambria" w:hAnsi="Cambria"/>
          <w:sz w:val="24"/>
          <w:szCs w:val="24"/>
        </w:rPr>
        <w:t xml:space="preserve">due to raw material problem </w:t>
      </w:r>
      <w:r w:rsidR="00092DDD" w:rsidRPr="00B11294">
        <w:rPr>
          <w:rFonts w:ascii="Cambria" w:hAnsi="Cambria"/>
          <w:sz w:val="24"/>
          <w:szCs w:val="24"/>
        </w:rPr>
        <w:t xml:space="preserve">and is about to close. The consumer is consuming power for its auxiliary load only which affect </w:t>
      </w:r>
      <w:r w:rsidR="000E2EBF" w:rsidRPr="00B11294">
        <w:rPr>
          <w:rFonts w:ascii="Cambria" w:hAnsi="Cambria"/>
          <w:sz w:val="24"/>
          <w:szCs w:val="24"/>
        </w:rPr>
        <w:t xml:space="preserve">the </w:t>
      </w:r>
      <w:r w:rsidR="00092DDD" w:rsidRPr="00B11294">
        <w:rPr>
          <w:rFonts w:ascii="Cambria" w:hAnsi="Cambria"/>
          <w:sz w:val="24"/>
          <w:szCs w:val="24"/>
        </w:rPr>
        <w:t xml:space="preserve">total HT sale projection considerably nearly </w:t>
      </w:r>
      <w:r w:rsidR="00C97B44">
        <w:rPr>
          <w:rFonts w:ascii="Cambria" w:hAnsi="Cambria"/>
          <w:sz w:val="24"/>
          <w:szCs w:val="24"/>
        </w:rPr>
        <w:t xml:space="preserve">reduction of </w:t>
      </w:r>
      <w:r w:rsidR="00092DDD" w:rsidRPr="00B11294">
        <w:rPr>
          <w:rFonts w:ascii="Cambria" w:hAnsi="Cambria"/>
          <w:sz w:val="24"/>
          <w:szCs w:val="24"/>
        </w:rPr>
        <w:t>1</w:t>
      </w:r>
      <w:r w:rsidR="00B11294" w:rsidRPr="00B11294">
        <w:rPr>
          <w:rFonts w:ascii="Cambria" w:hAnsi="Cambria"/>
          <w:sz w:val="24"/>
          <w:szCs w:val="24"/>
        </w:rPr>
        <w:t>2</w:t>
      </w:r>
      <w:r w:rsidR="00092DDD" w:rsidRPr="00B11294">
        <w:rPr>
          <w:rFonts w:ascii="Cambria" w:hAnsi="Cambria"/>
          <w:sz w:val="24"/>
          <w:szCs w:val="24"/>
        </w:rPr>
        <w:t xml:space="preserve"> % of </w:t>
      </w:r>
      <w:r w:rsidR="000E2EBF" w:rsidRPr="00B11294">
        <w:rPr>
          <w:rFonts w:ascii="Cambria" w:hAnsi="Cambria"/>
          <w:sz w:val="24"/>
          <w:szCs w:val="24"/>
        </w:rPr>
        <w:t xml:space="preserve">the </w:t>
      </w:r>
      <w:r w:rsidR="00C97B44">
        <w:rPr>
          <w:rFonts w:ascii="Cambria" w:hAnsi="Cambria"/>
          <w:sz w:val="24"/>
          <w:szCs w:val="24"/>
        </w:rPr>
        <w:t>total HT sales</w:t>
      </w:r>
      <w:r w:rsidR="00092DDD" w:rsidRPr="00B11294">
        <w:rPr>
          <w:rFonts w:ascii="Cambria" w:hAnsi="Cambria"/>
          <w:sz w:val="24"/>
          <w:szCs w:val="24"/>
        </w:rPr>
        <w:t xml:space="preserve">. Inspite of </w:t>
      </w:r>
      <w:r w:rsidR="000E2EBF" w:rsidRPr="00B11294">
        <w:rPr>
          <w:rFonts w:ascii="Cambria" w:hAnsi="Cambria"/>
          <w:sz w:val="24"/>
          <w:szCs w:val="24"/>
        </w:rPr>
        <w:t xml:space="preserve">the </w:t>
      </w:r>
      <w:r w:rsidR="00092DDD" w:rsidRPr="00B11294">
        <w:rPr>
          <w:rFonts w:ascii="Cambria" w:hAnsi="Cambria"/>
          <w:sz w:val="24"/>
          <w:szCs w:val="24"/>
        </w:rPr>
        <w:t>above</w:t>
      </w:r>
      <w:r w:rsidR="000E2EBF" w:rsidRPr="00B11294">
        <w:rPr>
          <w:rFonts w:ascii="Cambria" w:hAnsi="Cambria"/>
          <w:sz w:val="24"/>
          <w:szCs w:val="24"/>
        </w:rPr>
        <w:t>,</w:t>
      </w:r>
      <w:r w:rsidR="00092DDD" w:rsidRPr="00B11294">
        <w:rPr>
          <w:rFonts w:ascii="Cambria" w:hAnsi="Cambria"/>
          <w:sz w:val="24"/>
          <w:szCs w:val="24"/>
        </w:rPr>
        <w:t xml:space="preserve"> HT sales projection </w:t>
      </w:r>
      <w:r w:rsidR="000E2EBF" w:rsidRPr="00B11294">
        <w:rPr>
          <w:rFonts w:ascii="Cambria" w:hAnsi="Cambria"/>
          <w:sz w:val="24"/>
          <w:szCs w:val="24"/>
        </w:rPr>
        <w:t xml:space="preserve">is </w:t>
      </w:r>
      <w:r w:rsidR="00092DDD" w:rsidRPr="00B11294">
        <w:rPr>
          <w:rFonts w:ascii="Cambria" w:hAnsi="Cambria"/>
          <w:sz w:val="24"/>
          <w:szCs w:val="24"/>
        </w:rPr>
        <w:t xml:space="preserve">kept </w:t>
      </w:r>
      <w:r w:rsidR="000E2EBF" w:rsidRPr="00B11294">
        <w:rPr>
          <w:rFonts w:ascii="Cambria" w:hAnsi="Cambria"/>
          <w:sz w:val="24"/>
          <w:szCs w:val="24"/>
        </w:rPr>
        <w:t>at</w:t>
      </w:r>
      <w:r w:rsidR="00092DDD" w:rsidRPr="00B11294">
        <w:rPr>
          <w:rFonts w:ascii="Cambria" w:hAnsi="Cambria"/>
          <w:sz w:val="24"/>
          <w:szCs w:val="24"/>
        </w:rPr>
        <w:t xml:space="preserve"> par with 2019-20 </w:t>
      </w:r>
      <w:r w:rsidR="000E2EBF" w:rsidRPr="00B11294">
        <w:rPr>
          <w:rFonts w:ascii="Cambria" w:hAnsi="Cambria"/>
          <w:sz w:val="24"/>
          <w:szCs w:val="24"/>
        </w:rPr>
        <w:t xml:space="preserve">HT </w:t>
      </w:r>
      <w:r w:rsidR="00092DDD" w:rsidRPr="00B11294">
        <w:rPr>
          <w:rFonts w:ascii="Cambria" w:hAnsi="Cambria"/>
          <w:sz w:val="24"/>
          <w:szCs w:val="24"/>
        </w:rPr>
        <w:t>sales</w:t>
      </w:r>
      <w:r w:rsidR="007366EA" w:rsidRPr="00B11294">
        <w:rPr>
          <w:rFonts w:ascii="Cambria" w:hAnsi="Cambria"/>
          <w:sz w:val="24"/>
          <w:szCs w:val="24"/>
        </w:rPr>
        <w:t>.</w:t>
      </w:r>
      <w:r w:rsidR="004276A0" w:rsidRPr="00B11294">
        <w:rPr>
          <w:rFonts w:ascii="Cambria" w:hAnsi="Cambria"/>
          <w:sz w:val="24"/>
          <w:szCs w:val="24"/>
        </w:rPr>
        <w:t xml:space="preserve"> </w:t>
      </w:r>
      <w:r w:rsidR="000E2EBF" w:rsidRPr="00B11294">
        <w:rPr>
          <w:rFonts w:ascii="Cambria" w:hAnsi="Cambria"/>
          <w:sz w:val="24"/>
          <w:szCs w:val="24"/>
        </w:rPr>
        <w:t xml:space="preserve">Had it </w:t>
      </w:r>
      <w:r w:rsidR="00092DDD" w:rsidRPr="00B11294">
        <w:rPr>
          <w:rFonts w:ascii="Cambria" w:hAnsi="Cambria"/>
          <w:sz w:val="24"/>
          <w:szCs w:val="24"/>
        </w:rPr>
        <w:t>been in operation</w:t>
      </w:r>
      <w:r w:rsidR="000E2EBF" w:rsidRPr="00B11294">
        <w:rPr>
          <w:rFonts w:ascii="Cambria" w:hAnsi="Cambria"/>
          <w:sz w:val="24"/>
          <w:szCs w:val="24"/>
        </w:rPr>
        <w:t>,</w:t>
      </w:r>
      <w:r w:rsidR="007366EA" w:rsidRPr="00B11294">
        <w:rPr>
          <w:rFonts w:ascii="Cambria" w:hAnsi="Cambria"/>
          <w:sz w:val="24"/>
          <w:szCs w:val="24"/>
        </w:rPr>
        <w:t xml:space="preserve"> there w</w:t>
      </w:r>
      <w:r w:rsidR="000E2EBF" w:rsidRPr="00B11294">
        <w:rPr>
          <w:rFonts w:ascii="Cambria" w:hAnsi="Cambria"/>
          <w:sz w:val="24"/>
          <w:szCs w:val="24"/>
        </w:rPr>
        <w:t>ould have been a</w:t>
      </w:r>
      <w:r w:rsidR="007366EA" w:rsidRPr="00B11294">
        <w:rPr>
          <w:rFonts w:ascii="Cambria" w:hAnsi="Cambria"/>
          <w:sz w:val="24"/>
          <w:szCs w:val="24"/>
        </w:rPr>
        <w:t xml:space="preserve"> growth of </w:t>
      </w:r>
      <w:r w:rsidR="00092DDD" w:rsidRPr="00B11294">
        <w:rPr>
          <w:rFonts w:ascii="Cambria" w:hAnsi="Cambria"/>
          <w:sz w:val="24"/>
          <w:szCs w:val="24"/>
        </w:rPr>
        <w:t>1</w:t>
      </w:r>
      <w:r w:rsidR="000E2EBF" w:rsidRPr="00B11294">
        <w:rPr>
          <w:rFonts w:ascii="Cambria" w:hAnsi="Cambria"/>
          <w:sz w:val="24"/>
          <w:szCs w:val="24"/>
        </w:rPr>
        <w:t>0</w:t>
      </w:r>
      <w:r w:rsidR="007366EA" w:rsidRPr="00B11294">
        <w:rPr>
          <w:rFonts w:ascii="Cambria" w:hAnsi="Cambria"/>
          <w:sz w:val="24"/>
          <w:szCs w:val="24"/>
        </w:rPr>
        <w:t xml:space="preserve">% due to </w:t>
      </w:r>
      <w:r w:rsidR="0033579B" w:rsidRPr="00B11294">
        <w:rPr>
          <w:rFonts w:ascii="Cambria" w:hAnsi="Cambria"/>
          <w:sz w:val="24"/>
          <w:szCs w:val="24"/>
        </w:rPr>
        <w:t>some upcoming industries</w:t>
      </w:r>
      <w:r w:rsidR="009979ED" w:rsidRPr="00B11294">
        <w:rPr>
          <w:rFonts w:ascii="Cambria" w:hAnsi="Cambria"/>
          <w:sz w:val="24"/>
          <w:szCs w:val="24"/>
        </w:rPr>
        <w:t xml:space="preserve"> and </w:t>
      </w:r>
      <w:r w:rsidR="007366EA" w:rsidRPr="00B11294">
        <w:rPr>
          <w:rFonts w:ascii="Cambria" w:hAnsi="Cambria"/>
          <w:sz w:val="24"/>
          <w:szCs w:val="24"/>
        </w:rPr>
        <w:t xml:space="preserve">increasing trend of </w:t>
      </w:r>
      <w:r w:rsidR="005676BB" w:rsidRPr="00B11294">
        <w:rPr>
          <w:rFonts w:ascii="Cambria" w:hAnsi="Cambria"/>
          <w:sz w:val="24"/>
          <w:szCs w:val="24"/>
        </w:rPr>
        <w:t xml:space="preserve">other category of </w:t>
      </w:r>
      <w:r w:rsidR="007366EA" w:rsidRPr="00B11294">
        <w:rPr>
          <w:rFonts w:ascii="Cambria" w:hAnsi="Cambria"/>
          <w:sz w:val="24"/>
          <w:szCs w:val="24"/>
        </w:rPr>
        <w:t>consumer.</w:t>
      </w:r>
    </w:p>
    <w:tbl>
      <w:tblPr>
        <w:tblW w:w="8520" w:type="dxa"/>
        <w:tblInd w:w="93" w:type="dxa"/>
        <w:tblLook w:val="04A0"/>
      </w:tblPr>
      <w:tblGrid>
        <w:gridCol w:w="2840"/>
        <w:gridCol w:w="1360"/>
        <w:gridCol w:w="1440"/>
        <w:gridCol w:w="1440"/>
        <w:gridCol w:w="1440"/>
      </w:tblGrid>
      <w:tr w:rsidR="000E2EBF" w:rsidRPr="00852A4A" w:rsidTr="00852A4A">
        <w:trPr>
          <w:trHeight w:val="330"/>
        </w:trPr>
        <w:tc>
          <w:tcPr>
            <w:tcW w:w="2840" w:type="dxa"/>
            <w:tcBorders>
              <w:top w:val="single" w:sz="8" w:space="0" w:color="auto"/>
              <w:left w:val="single" w:sz="8" w:space="0" w:color="auto"/>
              <w:bottom w:val="single" w:sz="8" w:space="0" w:color="auto"/>
              <w:right w:val="single" w:sz="8" w:space="0" w:color="auto"/>
            </w:tcBorders>
            <w:shd w:val="clear" w:color="000000" w:fill="FFCC99"/>
            <w:noWrap/>
            <w:vAlign w:val="bottom"/>
            <w:hideMark/>
          </w:tcPr>
          <w:p w:rsidR="000E2EBF" w:rsidRPr="00852A4A" w:rsidRDefault="000E2EBF" w:rsidP="00875402">
            <w:pPr>
              <w:jc w:val="center"/>
              <w:rPr>
                <w:rFonts w:ascii="Cambria" w:hAnsi="Cambria"/>
                <w:b/>
                <w:bCs/>
                <w:color w:val="000000"/>
              </w:rPr>
            </w:pPr>
            <w:r w:rsidRPr="00852A4A">
              <w:rPr>
                <w:rFonts w:ascii="Cambria" w:hAnsi="Cambria"/>
                <w:b/>
                <w:bCs/>
                <w:color w:val="000000"/>
              </w:rPr>
              <w:t>Sales (MU)</w:t>
            </w:r>
          </w:p>
        </w:tc>
        <w:tc>
          <w:tcPr>
            <w:tcW w:w="1360" w:type="dxa"/>
            <w:tcBorders>
              <w:top w:val="single" w:sz="8" w:space="0" w:color="auto"/>
              <w:left w:val="nil"/>
              <w:bottom w:val="single" w:sz="8" w:space="0" w:color="auto"/>
              <w:right w:val="single" w:sz="8" w:space="0" w:color="auto"/>
            </w:tcBorders>
            <w:shd w:val="clear" w:color="000000" w:fill="FFCC99"/>
            <w:noWrap/>
            <w:vAlign w:val="center"/>
            <w:hideMark/>
          </w:tcPr>
          <w:p w:rsidR="000E2EBF" w:rsidRDefault="000E2EBF" w:rsidP="00F42E0C">
            <w:pPr>
              <w:jc w:val="center"/>
              <w:rPr>
                <w:rFonts w:ascii="Cambria" w:hAnsi="Cambria" w:cs="Arial"/>
                <w:b/>
                <w:bCs/>
                <w:color w:val="000000"/>
              </w:rPr>
            </w:pPr>
            <w:r>
              <w:rPr>
                <w:rFonts w:ascii="Cambria" w:hAnsi="Cambria" w:cs="Arial"/>
                <w:b/>
                <w:bCs/>
                <w:color w:val="000000"/>
              </w:rPr>
              <w:t>FY 2017-18</w:t>
            </w:r>
          </w:p>
        </w:tc>
        <w:tc>
          <w:tcPr>
            <w:tcW w:w="1440" w:type="dxa"/>
            <w:tcBorders>
              <w:top w:val="single" w:sz="8" w:space="0" w:color="auto"/>
              <w:left w:val="nil"/>
              <w:bottom w:val="single" w:sz="8" w:space="0" w:color="auto"/>
              <w:right w:val="single" w:sz="8" w:space="0" w:color="auto"/>
            </w:tcBorders>
            <w:shd w:val="clear" w:color="000000" w:fill="FFCC99"/>
            <w:noWrap/>
            <w:vAlign w:val="center"/>
            <w:hideMark/>
          </w:tcPr>
          <w:p w:rsidR="000E2EBF" w:rsidRDefault="000E2EBF" w:rsidP="00F42E0C">
            <w:pPr>
              <w:jc w:val="center"/>
              <w:rPr>
                <w:rFonts w:ascii="Cambria" w:hAnsi="Cambria" w:cs="Arial"/>
                <w:b/>
                <w:bCs/>
                <w:color w:val="000000"/>
              </w:rPr>
            </w:pPr>
            <w:r>
              <w:rPr>
                <w:rFonts w:ascii="Cambria" w:hAnsi="Cambria" w:cs="Arial"/>
                <w:b/>
                <w:bCs/>
                <w:color w:val="000000"/>
              </w:rPr>
              <w:t>FY 2018-19</w:t>
            </w:r>
          </w:p>
        </w:tc>
        <w:tc>
          <w:tcPr>
            <w:tcW w:w="1440" w:type="dxa"/>
            <w:tcBorders>
              <w:top w:val="single" w:sz="8" w:space="0" w:color="auto"/>
              <w:left w:val="nil"/>
              <w:bottom w:val="single" w:sz="8" w:space="0" w:color="auto"/>
              <w:right w:val="single" w:sz="8" w:space="0" w:color="auto"/>
            </w:tcBorders>
            <w:shd w:val="clear" w:color="000000" w:fill="FFCC99"/>
            <w:noWrap/>
            <w:vAlign w:val="center"/>
            <w:hideMark/>
          </w:tcPr>
          <w:p w:rsidR="000E2EBF" w:rsidRDefault="000E2EBF" w:rsidP="00F42E0C">
            <w:pPr>
              <w:jc w:val="center"/>
              <w:rPr>
                <w:rFonts w:ascii="Cambria" w:hAnsi="Cambria" w:cs="Arial"/>
                <w:b/>
                <w:bCs/>
                <w:color w:val="000000"/>
              </w:rPr>
            </w:pPr>
            <w:r>
              <w:rPr>
                <w:rFonts w:ascii="Cambria" w:hAnsi="Cambria" w:cs="Arial"/>
                <w:b/>
                <w:bCs/>
                <w:color w:val="000000"/>
              </w:rPr>
              <w:t>FY 2019-20</w:t>
            </w:r>
          </w:p>
        </w:tc>
        <w:tc>
          <w:tcPr>
            <w:tcW w:w="1440" w:type="dxa"/>
            <w:tcBorders>
              <w:top w:val="single" w:sz="8" w:space="0" w:color="auto"/>
              <w:left w:val="nil"/>
              <w:bottom w:val="single" w:sz="8" w:space="0" w:color="auto"/>
              <w:right w:val="single" w:sz="8" w:space="0" w:color="auto"/>
            </w:tcBorders>
            <w:shd w:val="clear" w:color="000000" w:fill="FFCC99"/>
            <w:noWrap/>
            <w:vAlign w:val="center"/>
            <w:hideMark/>
          </w:tcPr>
          <w:p w:rsidR="000E2EBF" w:rsidRDefault="000E2EBF" w:rsidP="000E2EBF">
            <w:pPr>
              <w:jc w:val="center"/>
              <w:rPr>
                <w:rFonts w:ascii="Cambria" w:hAnsi="Cambria" w:cs="Arial"/>
                <w:b/>
                <w:bCs/>
                <w:color w:val="000000"/>
              </w:rPr>
            </w:pPr>
            <w:r>
              <w:rPr>
                <w:rFonts w:ascii="Cambria" w:hAnsi="Cambria" w:cs="Arial"/>
                <w:b/>
                <w:bCs/>
                <w:color w:val="000000"/>
              </w:rPr>
              <w:t>FY 2020-21</w:t>
            </w:r>
          </w:p>
        </w:tc>
      </w:tr>
      <w:tr w:rsidR="000E2EBF" w:rsidRPr="00852A4A" w:rsidTr="00852A4A">
        <w:trPr>
          <w:trHeight w:val="330"/>
        </w:trPr>
        <w:tc>
          <w:tcPr>
            <w:tcW w:w="2840" w:type="dxa"/>
            <w:tcBorders>
              <w:top w:val="nil"/>
              <w:left w:val="single" w:sz="8" w:space="0" w:color="auto"/>
              <w:bottom w:val="single" w:sz="8" w:space="0" w:color="auto"/>
              <w:right w:val="single" w:sz="8" w:space="0" w:color="auto"/>
            </w:tcBorders>
            <w:shd w:val="clear" w:color="auto" w:fill="auto"/>
            <w:noWrap/>
            <w:vAlign w:val="bottom"/>
            <w:hideMark/>
          </w:tcPr>
          <w:p w:rsidR="000E2EBF" w:rsidRPr="00852A4A" w:rsidRDefault="000E2EBF" w:rsidP="00875402">
            <w:pPr>
              <w:jc w:val="both"/>
              <w:rPr>
                <w:rFonts w:ascii="Cambria" w:hAnsi="Cambria"/>
                <w:color w:val="000000"/>
              </w:rPr>
            </w:pPr>
            <w:r w:rsidRPr="00852A4A">
              <w:rPr>
                <w:rFonts w:ascii="Cambria" w:hAnsi="Cambria"/>
                <w:color w:val="000000"/>
              </w:rPr>
              <w:t>Large Industry</w:t>
            </w:r>
          </w:p>
        </w:tc>
        <w:tc>
          <w:tcPr>
            <w:tcW w:w="1360" w:type="dxa"/>
            <w:tcBorders>
              <w:top w:val="nil"/>
              <w:left w:val="nil"/>
              <w:bottom w:val="single" w:sz="8" w:space="0" w:color="auto"/>
              <w:right w:val="single" w:sz="8" w:space="0" w:color="auto"/>
            </w:tcBorders>
            <w:shd w:val="clear" w:color="auto" w:fill="auto"/>
            <w:noWrap/>
            <w:vAlign w:val="center"/>
            <w:hideMark/>
          </w:tcPr>
          <w:p w:rsidR="000E2EBF" w:rsidRDefault="000E2EBF" w:rsidP="00F42E0C">
            <w:pPr>
              <w:jc w:val="center"/>
              <w:rPr>
                <w:rFonts w:ascii="Cambria" w:hAnsi="Cambria" w:cs="Arial"/>
                <w:color w:val="000000"/>
              </w:rPr>
            </w:pPr>
            <w:r>
              <w:rPr>
                <w:rFonts w:ascii="Cambria" w:hAnsi="Cambria" w:cs="Arial"/>
                <w:color w:val="000000"/>
              </w:rPr>
              <w:t>288.911</w:t>
            </w:r>
          </w:p>
        </w:tc>
        <w:tc>
          <w:tcPr>
            <w:tcW w:w="1440" w:type="dxa"/>
            <w:tcBorders>
              <w:top w:val="nil"/>
              <w:left w:val="nil"/>
              <w:bottom w:val="single" w:sz="8" w:space="0" w:color="auto"/>
              <w:right w:val="single" w:sz="8" w:space="0" w:color="auto"/>
            </w:tcBorders>
            <w:shd w:val="clear" w:color="auto" w:fill="auto"/>
            <w:noWrap/>
            <w:vAlign w:val="center"/>
            <w:hideMark/>
          </w:tcPr>
          <w:p w:rsidR="000E2EBF" w:rsidRDefault="000E2EBF" w:rsidP="00F42E0C">
            <w:pPr>
              <w:jc w:val="center"/>
              <w:rPr>
                <w:rFonts w:ascii="Cambria" w:hAnsi="Cambria" w:cs="Arial"/>
                <w:color w:val="000000"/>
              </w:rPr>
            </w:pPr>
            <w:r>
              <w:rPr>
                <w:rFonts w:ascii="Cambria" w:hAnsi="Cambria" w:cs="Arial"/>
                <w:color w:val="000000"/>
              </w:rPr>
              <w:t>291.015</w:t>
            </w:r>
          </w:p>
        </w:tc>
        <w:tc>
          <w:tcPr>
            <w:tcW w:w="1440" w:type="dxa"/>
            <w:tcBorders>
              <w:top w:val="nil"/>
              <w:left w:val="nil"/>
              <w:bottom w:val="single" w:sz="8" w:space="0" w:color="auto"/>
              <w:right w:val="single" w:sz="8" w:space="0" w:color="auto"/>
            </w:tcBorders>
            <w:shd w:val="clear" w:color="auto" w:fill="auto"/>
            <w:noWrap/>
            <w:vAlign w:val="center"/>
            <w:hideMark/>
          </w:tcPr>
          <w:p w:rsidR="000E2EBF" w:rsidRDefault="000E2EBF" w:rsidP="00F42E0C">
            <w:pPr>
              <w:jc w:val="center"/>
              <w:rPr>
                <w:rFonts w:ascii="Cambria" w:hAnsi="Cambria" w:cs="Arial"/>
                <w:color w:val="000000"/>
              </w:rPr>
            </w:pPr>
            <w:r>
              <w:rPr>
                <w:rFonts w:ascii="Cambria" w:hAnsi="Cambria" w:cs="Arial"/>
                <w:color w:val="000000"/>
              </w:rPr>
              <w:t>310.874</w:t>
            </w:r>
          </w:p>
        </w:tc>
        <w:tc>
          <w:tcPr>
            <w:tcW w:w="1440" w:type="dxa"/>
            <w:tcBorders>
              <w:top w:val="nil"/>
              <w:left w:val="nil"/>
              <w:bottom w:val="single" w:sz="8" w:space="0" w:color="auto"/>
              <w:right w:val="single" w:sz="8" w:space="0" w:color="auto"/>
            </w:tcBorders>
            <w:shd w:val="clear" w:color="auto" w:fill="auto"/>
            <w:noWrap/>
            <w:vAlign w:val="center"/>
            <w:hideMark/>
          </w:tcPr>
          <w:p w:rsidR="000E2EBF" w:rsidRDefault="00B11294">
            <w:pPr>
              <w:jc w:val="center"/>
              <w:rPr>
                <w:rFonts w:ascii="Cambria" w:hAnsi="Cambria" w:cs="Arial"/>
                <w:color w:val="000000"/>
              </w:rPr>
            </w:pPr>
            <w:r>
              <w:rPr>
                <w:rFonts w:ascii="Cambria" w:hAnsi="Cambria" w:cs="Arial"/>
                <w:color w:val="000000"/>
              </w:rPr>
              <w:t>313.908</w:t>
            </w:r>
          </w:p>
        </w:tc>
      </w:tr>
      <w:tr w:rsidR="000E2EBF" w:rsidRPr="00852A4A" w:rsidTr="00852A4A">
        <w:trPr>
          <w:trHeight w:val="330"/>
        </w:trPr>
        <w:tc>
          <w:tcPr>
            <w:tcW w:w="2840" w:type="dxa"/>
            <w:tcBorders>
              <w:top w:val="nil"/>
              <w:left w:val="single" w:sz="8" w:space="0" w:color="auto"/>
              <w:bottom w:val="single" w:sz="8" w:space="0" w:color="auto"/>
              <w:right w:val="single" w:sz="8" w:space="0" w:color="auto"/>
            </w:tcBorders>
            <w:shd w:val="clear" w:color="auto" w:fill="auto"/>
            <w:noWrap/>
            <w:vAlign w:val="bottom"/>
            <w:hideMark/>
          </w:tcPr>
          <w:p w:rsidR="000E2EBF" w:rsidRPr="00852A4A" w:rsidRDefault="000E2EBF" w:rsidP="00875402">
            <w:pPr>
              <w:jc w:val="both"/>
              <w:rPr>
                <w:rFonts w:ascii="Cambria" w:hAnsi="Cambria"/>
                <w:color w:val="000000"/>
              </w:rPr>
            </w:pPr>
            <w:r w:rsidRPr="00852A4A">
              <w:rPr>
                <w:rFonts w:ascii="Cambria" w:hAnsi="Cambria"/>
                <w:color w:val="000000"/>
              </w:rPr>
              <w:t>Power intensive</w:t>
            </w:r>
          </w:p>
        </w:tc>
        <w:tc>
          <w:tcPr>
            <w:tcW w:w="1360" w:type="dxa"/>
            <w:tcBorders>
              <w:top w:val="nil"/>
              <w:left w:val="nil"/>
              <w:bottom w:val="single" w:sz="8" w:space="0" w:color="auto"/>
              <w:right w:val="single" w:sz="8" w:space="0" w:color="auto"/>
            </w:tcBorders>
            <w:shd w:val="clear" w:color="auto" w:fill="auto"/>
            <w:noWrap/>
            <w:vAlign w:val="center"/>
            <w:hideMark/>
          </w:tcPr>
          <w:p w:rsidR="000E2EBF" w:rsidRDefault="000E2EBF" w:rsidP="00F42E0C">
            <w:pPr>
              <w:jc w:val="center"/>
              <w:rPr>
                <w:rFonts w:ascii="Cambria" w:hAnsi="Cambria" w:cs="Arial"/>
                <w:color w:val="000000"/>
              </w:rPr>
            </w:pPr>
            <w:r>
              <w:rPr>
                <w:rFonts w:ascii="Cambria" w:hAnsi="Cambria" w:cs="Arial"/>
                <w:color w:val="000000"/>
              </w:rPr>
              <w:t>57.048</w:t>
            </w:r>
          </w:p>
        </w:tc>
        <w:tc>
          <w:tcPr>
            <w:tcW w:w="1440" w:type="dxa"/>
            <w:tcBorders>
              <w:top w:val="nil"/>
              <w:left w:val="nil"/>
              <w:bottom w:val="single" w:sz="8" w:space="0" w:color="auto"/>
              <w:right w:val="single" w:sz="8" w:space="0" w:color="auto"/>
            </w:tcBorders>
            <w:shd w:val="clear" w:color="auto" w:fill="auto"/>
            <w:noWrap/>
            <w:vAlign w:val="center"/>
            <w:hideMark/>
          </w:tcPr>
          <w:p w:rsidR="000E2EBF" w:rsidRDefault="000E2EBF" w:rsidP="00F42E0C">
            <w:pPr>
              <w:jc w:val="center"/>
              <w:rPr>
                <w:rFonts w:ascii="Cambria" w:hAnsi="Cambria" w:cs="Arial"/>
                <w:color w:val="000000"/>
              </w:rPr>
            </w:pPr>
            <w:r>
              <w:rPr>
                <w:rFonts w:ascii="Cambria" w:hAnsi="Cambria" w:cs="Arial"/>
                <w:color w:val="000000"/>
              </w:rPr>
              <w:t>42.650</w:t>
            </w:r>
          </w:p>
        </w:tc>
        <w:tc>
          <w:tcPr>
            <w:tcW w:w="1440" w:type="dxa"/>
            <w:tcBorders>
              <w:top w:val="nil"/>
              <w:left w:val="nil"/>
              <w:bottom w:val="single" w:sz="8" w:space="0" w:color="auto"/>
              <w:right w:val="single" w:sz="8" w:space="0" w:color="auto"/>
            </w:tcBorders>
            <w:shd w:val="clear" w:color="auto" w:fill="auto"/>
            <w:noWrap/>
            <w:vAlign w:val="center"/>
            <w:hideMark/>
          </w:tcPr>
          <w:p w:rsidR="000E2EBF" w:rsidRDefault="000E2EBF" w:rsidP="00F42E0C">
            <w:pPr>
              <w:jc w:val="center"/>
              <w:rPr>
                <w:rFonts w:ascii="Cambria" w:hAnsi="Cambria" w:cs="Arial"/>
                <w:color w:val="000000"/>
              </w:rPr>
            </w:pPr>
            <w:r>
              <w:rPr>
                <w:rFonts w:ascii="Cambria" w:hAnsi="Cambria" w:cs="Arial"/>
                <w:color w:val="000000"/>
              </w:rPr>
              <w:t>12.056</w:t>
            </w:r>
          </w:p>
        </w:tc>
        <w:tc>
          <w:tcPr>
            <w:tcW w:w="1440" w:type="dxa"/>
            <w:tcBorders>
              <w:top w:val="nil"/>
              <w:left w:val="nil"/>
              <w:bottom w:val="single" w:sz="8" w:space="0" w:color="auto"/>
              <w:right w:val="single" w:sz="8" w:space="0" w:color="auto"/>
            </w:tcBorders>
            <w:shd w:val="clear" w:color="auto" w:fill="auto"/>
            <w:noWrap/>
            <w:vAlign w:val="center"/>
            <w:hideMark/>
          </w:tcPr>
          <w:p w:rsidR="000E2EBF" w:rsidRDefault="00B11294">
            <w:pPr>
              <w:jc w:val="center"/>
              <w:rPr>
                <w:rFonts w:ascii="Cambria" w:hAnsi="Cambria" w:cs="Arial"/>
                <w:color w:val="000000"/>
              </w:rPr>
            </w:pPr>
            <w:r>
              <w:rPr>
                <w:rFonts w:ascii="Cambria" w:hAnsi="Cambria" w:cs="Arial"/>
                <w:color w:val="000000"/>
              </w:rPr>
              <w:t>1.825</w:t>
            </w:r>
          </w:p>
        </w:tc>
      </w:tr>
      <w:tr w:rsidR="000E2EBF" w:rsidRPr="00852A4A" w:rsidTr="00852A4A">
        <w:trPr>
          <w:trHeight w:val="330"/>
        </w:trPr>
        <w:tc>
          <w:tcPr>
            <w:tcW w:w="2840" w:type="dxa"/>
            <w:tcBorders>
              <w:top w:val="nil"/>
              <w:left w:val="single" w:sz="8" w:space="0" w:color="auto"/>
              <w:bottom w:val="single" w:sz="8" w:space="0" w:color="auto"/>
              <w:right w:val="single" w:sz="8" w:space="0" w:color="auto"/>
            </w:tcBorders>
            <w:shd w:val="clear" w:color="auto" w:fill="auto"/>
            <w:noWrap/>
            <w:vAlign w:val="bottom"/>
            <w:hideMark/>
          </w:tcPr>
          <w:p w:rsidR="000E2EBF" w:rsidRPr="00852A4A" w:rsidRDefault="000E2EBF" w:rsidP="00875402">
            <w:pPr>
              <w:jc w:val="both"/>
              <w:rPr>
                <w:rFonts w:ascii="Cambria" w:hAnsi="Cambria"/>
                <w:color w:val="000000"/>
              </w:rPr>
            </w:pPr>
            <w:r w:rsidRPr="00852A4A">
              <w:rPr>
                <w:rFonts w:ascii="Cambria" w:hAnsi="Cambria"/>
                <w:color w:val="000000"/>
              </w:rPr>
              <w:t>Others</w:t>
            </w:r>
          </w:p>
        </w:tc>
        <w:tc>
          <w:tcPr>
            <w:tcW w:w="1360" w:type="dxa"/>
            <w:tcBorders>
              <w:top w:val="nil"/>
              <w:left w:val="nil"/>
              <w:bottom w:val="single" w:sz="8" w:space="0" w:color="auto"/>
              <w:right w:val="single" w:sz="8" w:space="0" w:color="auto"/>
            </w:tcBorders>
            <w:shd w:val="clear" w:color="auto" w:fill="auto"/>
            <w:noWrap/>
            <w:vAlign w:val="center"/>
            <w:hideMark/>
          </w:tcPr>
          <w:p w:rsidR="000E2EBF" w:rsidRDefault="000E2EBF" w:rsidP="00F42E0C">
            <w:pPr>
              <w:jc w:val="center"/>
              <w:rPr>
                <w:rFonts w:ascii="Cambria" w:hAnsi="Cambria" w:cs="Arial"/>
                <w:color w:val="000000"/>
              </w:rPr>
            </w:pPr>
            <w:r>
              <w:rPr>
                <w:rFonts w:ascii="Cambria" w:hAnsi="Cambria" w:cs="Arial"/>
                <w:color w:val="000000"/>
              </w:rPr>
              <w:t>95.758</w:t>
            </w:r>
          </w:p>
        </w:tc>
        <w:tc>
          <w:tcPr>
            <w:tcW w:w="1440" w:type="dxa"/>
            <w:tcBorders>
              <w:top w:val="nil"/>
              <w:left w:val="nil"/>
              <w:bottom w:val="single" w:sz="8" w:space="0" w:color="auto"/>
              <w:right w:val="single" w:sz="8" w:space="0" w:color="auto"/>
            </w:tcBorders>
            <w:shd w:val="clear" w:color="auto" w:fill="auto"/>
            <w:noWrap/>
            <w:vAlign w:val="center"/>
            <w:hideMark/>
          </w:tcPr>
          <w:p w:rsidR="000E2EBF" w:rsidRDefault="000E2EBF" w:rsidP="00F42E0C">
            <w:pPr>
              <w:jc w:val="center"/>
              <w:rPr>
                <w:rFonts w:ascii="Cambria" w:hAnsi="Cambria" w:cs="Arial"/>
                <w:color w:val="000000"/>
              </w:rPr>
            </w:pPr>
            <w:r>
              <w:rPr>
                <w:rFonts w:ascii="Cambria" w:hAnsi="Cambria" w:cs="Arial"/>
                <w:color w:val="000000"/>
              </w:rPr>
              <w:t>97.675</w:t>
            </w:r>
          </w:p>
        </w:tc>
        <w:tc>
          <w:tcPr>
            <w:tcW w:w="1440" w:type="dxa"/>
            <w:tcBorders>
              <w:top w:val="nil"/>
              <w:left w:val="nil"/>
              <w:bottom w:val="single" w:sz="8" w:space="0" w:color="auto"/>
              <w:right w:val="single" w:sz="8" w:space="0" w:color="auto"/>
            </w:tcBorders>
            <w:shd w:val="clear" w:color="auto" w:fill="auto"/>
            <w:noWrap/>
            <w:vAlign w:val="center"/>
            <w:hideMark/>
          </w:tcPr>
          <w:p w:rsidR="000E2EBF" w:rsidRDefault="000E2EBF" w:rsidP="00F42E0C">
            <w:pPr>
              <w:jc w:val="center"/>
              <w:rPr>
                <w:rFonts w:ascii="Cambria" w:hAnsi="Cambria" w:cs="Arial"/>
                <w:color w:val="000000"/>
              </w:rPr>
            </w:pPr>
            <w:r>
              <w:rPr>
                <w:rFonts w:ascii="Cambria" w:hAnsi="Cambria" w:cs="Arial"/>
                <w:color w:val="000000"/>
              </w:rPr>
              <w:t>113.337</w:t>
            </w:r>
          </w:p>
        </w:tc>
        <w:tc>
          <w:tcPr>
            <w:tcW w:w="1440" w:type="dxa"/>
            <w:tcBorders>
              <w:top w:val="nil"/>
              <w:left w:val="nil"/>
              <w:bottom w:val="single" w:sz="8" w:space="0" w:color="auto"/>
              <w:right w:val="single" w:sz="8" w:space="0" w:color="auto"/>
            </w:tcBorders>
            <w:shd w:val="clear" w:color="auto" w:fill="auto"/>
            <w:noWrap/>
            <w:vAlign w:val="center"/>
            <w:hideMark/>
          </w:tcPr>
          <w:p w:rsidR="000E2EBF" w:rsidRDefault="00B11294">
            <w:pPr>
              <w:jc w:val="center"/>
              <w:rPr>
                <w:rFonts w:ascii="Cambria" w:hAnsi="Cambria" w:cs="Arial"/>
                <w:color w:val="000000"/>
              </w:rPr>
            </w:pPr>
            <w:r>
              <w:rPr>
                <w:rFonts w:ascii="Cambria" w:hAnsi="Cambria" w:cs="Arial"/>
                <w:color w:val="000000"/>
              </w:rPr>
              <w:t>123.548</w:t>
            </w:r>
          </w:p>
        </w:tc>
      </w:tr>
      <w:tr w:rsidR="000E2EBF" w:rsidRPr="008F0724" w:rsidTr="00852A4A">
        <w:trPr>
          <w:trHeight w:val="330"/>
        </w:trPr>
        <w:tc>
          <w:tcPr>
            <w:tcW w:w="2840" w:type="dxa"/>
            <w:tcBorders>
              <w:top w:val="nil"/>
              <w:left w:val="single" w:sz="8" w:space="0" w:color="auto"/>
              <w:bottom w:val="single" w:sz="8" w:space="0" w:color="auto"/>
              <w:right w:val="single" w:sz="8" w:space="0" w:color="auto"/>
            </w:tcBorders>
            <w:shd w:val="clear" w:color="auto" w:fill="auto"/>
            <w:noWrap/>
            <w:vAlign w:val="bottom"/>
            <w:hideMark/>
          </w:tcPr>
          <w:p w:rsidR="000E2EBF" w:rsidRPr="00852A4A" w:rsidRDefault="000E2EBF" w:rsidP="00875402">
            <w:pPr>
              <w:jc w:val="right"/>
              <w:rPr>
                <w:rFonts w:ascii="Cambria" w:hAnsi="Cambria"/>
                <w:b/>
                <w:bCs/>
                <w:color w:val="000000"/>
              </w:rPr>
            </w:pPr>
            <w:r w:rsidRPr="00852A4A">
              <w:rPr>
                <w:rFonts w:ascii="Cambria" w:hAnsi="Cambria"/>
                <w:b/>
                <w:bCs/>
                <w:color w:val="000000"/>
              </w:rPr>
              <w:t>Total</w:t>
            </w:r>
          </w:p>
        </w:tc>
        <w:tc>
          <w:tcPr>
            <w:tcW w:w="1360" w:type="dxa"/>
            <w:tcBorders>
              <w:top w:val="nil"/>
              <w:left w:val="nil"/>
              <w:bottom w:val="single" w:sz="8" w:space="0" w:color="auto"/>
              <w:right w:val="single" w:sz="8" w:space="0" w:color="auto"/>
            </w:tcBorders>
            <w:shd w:val="clear" w:color="auto" w:fill="auto"/>
            <w:vAlign w:val="center"/>
            <w:hideMark/>
          </w:tcPr>
          <w:p w:rsidR="000E2EBF" w:rsidRDefault="000E2EBF" w:rsidP="00F42E0C">
            <w:pPr>
              <w:jc w:val="center"/>
              <w:rPr>
                <w:rFonts w:ascii="Cambria" w:hAnsi="Cambria" w:cs="Arial"/>
                <w:b/>
                <w:bCs/>
                <w:color w:val="000000"/>
              </w:rPr>
            </w:pPr>
            <w:r>
              <w:rPr>
                <w:rFonts w:ascii="Cambria" w:hAnsi="Cambria" w:cs="Arial"/>
                <w:b/>
                <w:bCs/>
                <w:color w:val="000000"/>
              </w:rPr>
              <w:t>441.717</w:t>
            </w:r>
          </w:p>
        </w:tc>
        <w:tc>
          <w:tcPr>
            <w:tcW w:w="1440" w:type="dxa"/>
            <w:tcBorders>
              <w:top w:val="nil"/>
              <w:left w:val="nil"/>
              <w:bottom w:val="single" w:sz="8" w:space="0" w:color="auto"/>
              <w:right w:val="single" w:sz="8" w:space="0" w:color="auto"/>
            </w:tcBorders>
            <w:shd w:val="clear" w:color="auto" w:fill="auto"/>
            <w:vAlign w:val="center"/>
            <w:hideMark/>
          </w:tcPr>
          <w:p w:rsidR="000E2EBF" w:rsidRDefault="000E2EBF" w:rsidP="00F42E0C">
            <w:pPr>
              <w:jc w:val="center"/>
              <w:rPr>
                <w:rFonts w:ascii="Cambria" w:hAnsi="Cambria" w:cs="Arial"/>
                <w:b/>
                <w:bCs/>
                <w:color w:val="000000"/>
              </w:rPr>
            </w:pPr>
            <w:r>
              <w:rPr>
                <w:rFonts w:ascii="Cambria" w:hAnsi="Cambria" w:cs="Arial"/>
                <w:b/>
                <w:bCs/>
                <w:color w:val="000000"/>
              </w:rPr>
              <w:t>431.340</w:t>
            </w:r>
          </w:p>
        </w:tc>
        <w:tc>
          <w:tcPr>
            <w:tcW w:w="1440" w:type="dxa"/>
            <w:tcBorders>
              <w:top w:val="nil"/>
              <w:left w:val="nil"/>
              <w:bottom w:val="single" w:sz="8" w:space="0" w:color="auto"/>
              <w:right w:val="single" w:sz="8" w:space="0" w:color="auto"/>
            </w:tcBorders>
            <w:shd w:val="clear" w:color="auto" w:fill="auto"/>
            <w:vAlign w:val="center"/>
            <w:hideMark/>
          </w:tcPr>
          <w:p w:rsidR="000E2EBF" w:rsidRDefault="000E2EBF" w:rsidP="00F42E0C">
            <w:pPr>
              <w:jc w:val="center"/>
              <w:rPr>
                <w:rFonts w:ascii="Cambria" w:hAnsi="Cambria" w:cs="Arial"/>
                <w:b/>
                <w:bCs/>
                <w:color w:val="000000"/>
              </w:rPr>
            </w:pPr>
            <w:r>
              <w:rPr>
                <w:rFonts w:ascii="Cambria" w:hAnsi="Cambria" w:cs="Arial"/>
                <w:b/>
                <w:bCs/>
                <w:color w:val="000000"/>
              </w:rPr>
              <w:t>436.267</w:t>
            </w:r>
          </w:p>
        </w:tc>
        <w:tc>
          <w:tcPr>
            <w:tcW w:w="1440" w:type="dxa"/>
            <w:tcBorders>
              <w:top w:val="nil"/>
              <w:left w:val="nil"/>
              <w:bottom w:val="single" w:sz="8" w:space="0" w:color="auto"/>
              <w:right w:val="single" w:sz="8" w:space="0" w:color="auto"/>
            </w:tcBorders>
            <w:shd w:val="clear" w:color="auto" w:fill="auto"/>
            <w:vAlign w:val="center"/>
            <w:hideMark/>
          </w:tcPr>
          <w:p w:rsidR="000E2EBF" w:rsidRDefault="00B11294">
            <w:pPr>
              <w:jc w:val="center"/>
              <w:rPr>
                <w:rFonts w:ascii="Cambria" w:hAnsi="Cambria" w:cs="Arial"/>
                <w:b/>
                <w:bCs/>
                <w:color w:val="000000"/>
              </w:rPr>
            </w:pPr>
            <w:r>
              <w:rPr>
                <w:rFonts w:ascii="Cambria" w:hAnsi="Cambria" w:cs="Arial"/>
                <w:b/>
                <w:bCs/>
                <w:color w:val="000000"/>
              </w:rPr>
              <w:t>439.281</w:t>
            </w:r>
          </w:p>
        </w:tc>
      </w:tr>
    </w:tbl>
    <w:p w:rsidR="004276A0" w:rsidRPr="0033579B" w:rsidRDefault="004276A0" w:rsidP="004276A0">
      <w:pPr>
        <w:pStyle w:val="BodyText2"/>
        <w:spacing w:line="360" w:lineRule="auto"/>
        <w:jc w:val="both"/>
        <w:rPr>
          <w:rFonts w:ascii="Cambria" w:hAnsi="Cambria"/>
          <w:b/>
          <w:sz w:val="24"/>
          <w:szCs w:val="24"/>
        </w:rPr>
      </w:pPr>
      <w:r w:rsidRPr="0033579B">
        <w:rPr>
          <w:rFonts w:ascii="Cambria" w:hAnsi="Cambria"/>
          <w:b/>
          <w:sz w:val="24"/>
          <w:szCs w:val="24"/>
        </w:rPr>
        <w:t>EHT Category</w:t>
      </w:r>
    </w:p>
    <w:p w:rsidR="008B598F" w:rsidRPr="0033579B" w:rsidRDefault="004276A0" w:rsidP="00283969">
      <w:pPr>
        <w:pStyle w:val="BodyText2"/>
        <w:spacing w:line="360" w:lineRule="auto"/>
        <w:jc w:val="both"/>
        <w:rPr>
          <w:rFonts w:ascii="Cambria" w:hAnsi="Cambria"/>
          <w:sz w:val="24"/>
          <w:szCs w:val="24"/>
        </w:rPr>
      </w:pPr>
      <w:r w:rsidRPr="0033579B">
        <w:rPr>
          <w:rFonts w:ascii="Cambria" w:hAnsi="Cambria"/>
          <w:sz w:val="24"/>
          <w:szCs w:val="24"/>
        </w:rPr>
        <w:t xml:space="preserve">The </w:t>
      </w:r>
      <w:r w:rsidR="006C38E9" w:rsidRPr="0033579B">
        <w:rPr>
          <w:rFonts w:ascii="Cambria" w:hAnsi="Cambria"/>
          <w:sz w:val="24"/>
          <w:szCs w:val="24"/>
        </w:rPr>
        <w:t>Utility</w:t>
      </w:r>
      <w:r w:rsidRPr="0033579B">
        <w:rPr>
          <w:rFonts w:ascii="Cambria" w:hAnsi="Cambria"/>
          <w:sz w:val="24"/>
          <w:szCs w:val="24"/>
        </w:rPr>
        <w:t xml:space="preserve"> has projected sales </w:t>
      </w:r>
      <w:r w:rsidR="00586FE2" w:rsidRPr="0033579B">
        <w:rPr>
          <w:rFonts w:ascii="Cambria" w:hAnsi="Cambria"/>
          <w:sz w:val="24"/>
          <w:szCs w:val="24"/>
        </w:rPr>
        <w:t xml:space="preserve">in EHT category </w:t>
      </w:r>
      <w:r w:rsidRPr="0033579B">
        <w:rPr>
          <w:rFonts w:ascii="Cambria" w:hAnsi="Cambria"/>
          <w:sz w:val="24"/>
          <w:szCs w:val="24"/>
        </w:rPr>
        <w:t>in the ensuing year</w:t>
      </w:r>
      <w:r w:rsidR="00B21CBE" w:rsidRPr="0033579B">
        <w:rPr>
          <w:rFonts w:ascii="Cambria" w:hAnsi="Cambria"/>
          <w:sz w:val="24"/>
          <w:szCs w:val="24"/>
        </w:rPr>
        <w:t xml:space="preserve"> analyzing the consumption pattern of each EHT consumer</w:t>
      </w:r>
      <w:r w:rsidRPr="0033579B">
        <w:rPr>
          <w:rFonts w:ascii="Cambria" w:hAnsi="Cambria"/>
          <w:sz w:val="24"/>
          <w:szCs w:val="24"/>
        </w:rPr>
        <w:t xml:space="preserve">. From FY 2010-11 onwards most of the industries are moving towards their own CPP which is reducing the </w:t>
      </w:r>
      <w:r w:rsidR="00B21CBE" w:rsidRPr="0033579B">
        <w:rPr>
          <w:rFonts w:ascii="Cambria" w:hAnsi="Cambria"/>
          <w:sz w:val="24"/>
          <w:szCs w:val="24"/>
        </w:rPr>
        <w:t>drawal from</w:t>
      </w:r>
      <w:r w:rsidRPr="0033579B">
        <w:rPr>
          <w:rFonts w:ascii="Cambria" w:hAnsi="Cambria"/>
          <w:sz w:val="24"/>
          <w:szCs w:val="24"/>
        </w:rPr>
        <w:t xml:space="preserve"> </w:t>
      </w:r>
      <w:r w:rsidR="005D1B25" w:rsidRPr="0033579B">
        <w:rPr>
          <w:rFonts w:ascii="Cambria" w:hAnsi="Cambria"/>
          <w:sz w:val="24"/>
          <w:szCs w:val="24"/>
        </w:rPr>
        <w:t>N</w:t>
      </w:r>
      <w:r w:rsidRPr="0033579B">
        <w:rPr>
          <w:rFonts w:ascii="Cambria" w:hAnsi="Cambria"/>
          <w:sz w:val="24"/>
          <w:szCs w:val="24"/>
        </w:rPr>
        <w:t>ESCO. Presently</w:t>
      </w:r>
      <w:r w:rsidR="00B21CBE" w:rsidRPr="0033579B">
        <w:rPr>
          <w:rFonts w:ascii="Cambria" w:hAnsi="Cambria"/>
          <w:sz w:val="24"/>
          <w:szCs w:val="24"/>
        </w:rPr>
        <w:t>,</w:t>
      </w:r>
      <w:r w:rsidRPr="0033579B">
        <w:rPr>
          <w:rFonts w:ascii="Cambria" w:hAnsi="Cambria"/>
          <w:sz w:val="24"/>
          <w:szCs w:val="24"/>
        </w:rPr>
        <w:t xml:space="preserve"> there are </w:t>
      </w:r>
      <w:r w:rsidR="005D1B25" w:rsidRPr="0033579B">
        <w:rPr>
          <w:rFonts w:ascii="Cambria" w:hAnsi="Cambria"/>
          <w:sz w:val="24"/>
          <w:szCs w:val="24"/>
        </w:rPr>
        <w:t>3</w:t>
      </w:r>
      <w:r w:rsidR="00B11294">
        <w:rPr>
          <w:rFonts w:ascii="Cambria" w:hAnsi="Cambria"/>
          <w:sz w:val="24"/>
          <w:szCs w:val="24"/>
        </w:rPr>
        <w:t>9</w:t>
      </w:r>
      <w:r w:rsidRPr="0033579B">
        <w:rPr>
          <w:rFonts w:ascii="Cambria" w:hAnsi="Cambria"/>
          <w:sz w:val="24"/>
          <w:szCs w:val="24"/>
        </w:rPr>
        <w:t xml:space="preserve"> EHT consumers including </w:t>
      </w:r>
      <w:r w:rsidR="005D1B25" w:rsidRPr="0033579B">
        <w:rPr>
          <w:rFonts w:ascii="Cambria" w:hAnsi="Cambria"/>
          <w:sz w:val="24"/>
          <w:szCs w:val="24"/>
        </w:rPr>
        <w:t>8</w:t>
      </w:r>
      <w:r w:rsidRPr="0033579B">
        <w:rPr>
          <w:rFonts w:ascii="Cambria" w:hAnsi="Cambria"/>
          <w:sz w:val="24"/>
          <w:szCs w:val="24"/>
        </w:rPr>
        <w:t xml:space="preserve"> nos </w:t>
      </w:r>
      <w:r w:rsidR="00132306" w:rsidRPr="0033579B">
        <w:rPr>
          <w:rFonts w:ascii="Cambria" w:hAnsi="Cambria"/>
          <w:sz w:val="24"/>
          <w:szCs w:val="24"/>
        </w:rPr>
        <w:t>railway traction</w:t>
      </w:r>
      <w:r w:rsidRPr="0033579B">
        <w:rPr>
          <w:rFonts w:ascii="Cambria" w:hAnsi="Cambria"/>
          <w:sz w:val="24"/>
          <w:szCs w:val="24"/>
        </w:rPr>
        <w:t xml:space="preserve"> connections. Out of the other </w:t>
      </w:r>
      <w:r w:rsidR="009876A5">
        <w:rPr>
          <w:rFonts w:ascii="Cambria" w:hAnsi="Cambria"/>
          <w:sz w:val="24"/>
          <w:szCs w:val="24"/>
        </w:rPr>
        <w:t>3</w:t>
      </w:r>
      <w:r w:rsidR="00B11294">
        <w:rPr>
          <w:rFonts w:ascii="Cambria" w:hAnsi="Cambria"/>
          <w:sz w:val="24"/>
          <w:szCs w:val="24"/>
        </w:rPr>
        <w:t>1</w:t>
      </w:r>
      <w:r w:rsidRPr="0033579B">
        <w:rPr>
          <w:rFonts w:ascii="Cambria" w:hAnsi="Cambria"/>
          <w:sz w:val="24"/>
          <w:szCs w:val="24"/>
        </w:rPr>
        <w:t xml:space="preserve"> nos, </w:t>
      </w:r>
      <w:r w:rsidR="00B11294">
        <w:rPr>
          <w:rFonts w:ascii="Cambria" w:hAnsi="Cambria"/>
          <w:sz w:val="24"/>
          <w:szCs w:val="24"/>
        </w:rPr>
        <w:t>10</w:t>
      </w:r>
      <w:r w:rsidRPr="0033579B">
        <w:rPr>
          <w:rFonts w:ascii="Cambria" w:hAnsi="Cambria"/>
          <w:sz w:val="24"/>
          <w:szCs w:val="24"/>
        </w:rPr>
        <w:t xml:space="preserve"> no of industries are having their own CPP</w:t>
      </w:r>
      <w:r w:rsidR="005D1B25" w:rsidRPr="0033579B">
        <w:rPr>
          <w:rFonts w:ascii="Cambria" w:hAnsi="Cambria"/>
          <w:sz w:val="24"/>
          <w:szCs w:val="24"/>
        </w:rPr>
        <w:t xml:space="preserve"> and </w:t>
      </w:r>
      <w:r w:rsidR="00B11294">
        <w:rPr>
          <w:rFonts w:ascii="Cambria" w:hAnsi="Cambria"/>
          <w:sz w:val="24"/>
          <w:szCs w:val="24"/>
        </w:rPr>
        <w:t>3</w:t>
      </w:r>
      <w:r w:rsidR="005D1B25" w:rsidRPr="0033579B">
        <w:rPr>
          <w:rFonts w:ascii="Cambria" w:hAnsi="Cambria"/>
          <w:sz w:val="24"/>
          <w:szCs w:val="24"/>
        </w:rPr>
        <w:t xml:space="preserve"> nos of consumers are availing power supply under emergency supply tariff category where there is no applicability of demand charges also</w:t>
      </w:r>
      <w:r w:rsidRPr="0033579B">
        <w:rPr>
          <w:rFonts w:ascii="Cambria" w:hAnsi="Cambria"/>
          <w:sz w:val="24"/>
          <w:szCs w:val="24"/>
        </w:rPr>
        <w:t xml:space="preserve">. The drawal made in EHT category mainly towards consumption of Railway, </w:t>
      </w:r>
      <w:r w:rsidR="005D1B25" w:rsidRPr="0033579B">
        <w:rPr>
          <w:rFonts w:ascii="Cambria" w:hAnsi="Cambria"/>
          <w:sz w:val="24"/>
          <w:szCs w:val="24"/>
        </w:rPr>
        <w:t>Ba</w:t>
      </w:r>
      <w:r w:rsidR="00C97B44">
        <w:rPr>
          <w:rFonts w:ascii="Cambria" w:hAnsi="Cambria"/>
          <w:sz w:val="24"/>
          <w:szCs w:val="24"/>
        </w:rPr>
        <w:t>lasore alloys Ltd., Rohit FerroT</w:t>
      </w:r>
      <w:r w:rsidR="005D1B25" w:rsidRPr="0033579B">
        <w:rPr>
          <w:rFonts w:ascii="Cambria" w:hAnsi="Cambria"/>
          <w:sz w:val="24"/>
          <w:szCs w:val="24"/>
        </w:rPr>
        <w:t>ech Ltd.</w:t>
      </w:r>
      <w:r w:rsidR="00132306" w:rsidRPr="0033579B">
        <w:rPr>
          <w:rFonts w:ascii="Cambria" w:hAnsi="Cambria"/>
          <w:sz w:val="24"/>
          <w:szCs w:val="24"/>
        </w:rPr>
        <w:t>, two nos connection of M/s Brahmani river pellets,</w:t>
      </w:r>
      <w:r w:rsidR="005D1B25" w:rsidRPr="0033579B">
        <w:rPr>
          <w:rFonts w:ascii="Cambria" w:hAnsi="Cambria"/>
          <w:sz w:val="24"/>
          <w:szCs w:val="24"/>
        </w:rPr>
        <w:t xml:space="preserve"> Tata Steel Ltd., Kalinga Nagar</w:t>
      </w:r>
      <w:r w:rsidR="00132306" w:rsidRPr="0033579B">
        <w:rPr>
          <w:rFonts w:ascii="Cambria" w:hAnsi="Cambria"/>
          <w:sz w:val="24"/>
          <w:szCs w:val="24"/>
        </w:rPr>
        <w:t xml:space="preserve"> and M/s Stork Ferro Ltd</w:t>
      </w:r>
      <w:r w:rsidRPr="0033579B">
        <w:rPr>
          <w:rFonts w:ascii="Cambria" w:hAnsi="Cambria"/>
          <w:sz w:val="24"/>
          <w:szCs w:val="24"/>
        </w:rPr>
        <w:t xml:space="preserve"> only. Others are drawing very less quantum as compared to their CD.</w:t>
      </w:r>
      <w:r w:rsidR="005D1B25" w:rsidRPr="0033579B">
        <w:rPr>
          <w:rFonts w:ascii="Cambria" w:hAnsi="Cambria"/>
          <w:sz w:val="24"/>
          <w:szCs w:val="24"/>
        </w:rPr>
        <w:t xml:space="preserve"> </w:t>
      </w:r>
      <w:r w:rsidR="00132306" w:rsidRPr="0033579B">
        <w:rPr>
          <w:rFonts w:ascii="Cambria" w:hAnsi="Cambria"/>
          <w:sz w:val="24"/>
          <w:szCs w:val="24"/>
        </w:rPr>
        <w:t>M</w:t>
      </w:r>
      <w:r w:rsidR="005D1B25" w:rsidRPr="0033579B">
        <w:rPr>
          <w:rFonts w:ascii="Cambria" w:hAnsi="Cambria"/>
          <w:sz w:val="24"/>
          <w:szCs w:val="24"/>
        </w:rPr>
        <w:t xml:space="preserve">ost of the </w:t>
      </w:r>
      <w:r w:rsidR="00132306" w:rsidRPr="0033579B">
        <w:rPr>
          <w:rFonts w:ascii="Cambria" w:hAnsi="Cambria"/>
          <w:sz w:val="24"/>
          <w:szCs w:val="24"/>
        </w:rPr>
        <w:t>hig</w:t>
      </w:r>
      <w:r w:rsidR="008F3735">
        <w:rPr>
          <w:rFonts w:ascii="Cambria" w:hAnsi="Cambria"/>
          <w:sz w:val="24"/>
          <w:szCs w:val="24"/>
        </w:rPr>
        <w:t>h</w:t>
      </w:r>
      <w:r w:rsidR="00132306" w:rsidRPr="0033579B">
        <w:rPr>
          <w:rFonts w:ascii="Cambria" w:hAnsi="Cambria"/>
          <w:sz w:val="24"/>
          <w:szCs w:val="24"/>
        </w:rPr>
        <w:t xml:space="preserve">ly </w:t>
      </w:r>
      <w:r w:rsidR="00132306" w:rsidRPr="0033579B">
        <w:rPr>
          <w:rFonts w:ascii="Cambria" w:hAnsi="Cambria"/>
          <w:sz w:val="24"/>
          <w:szCs w:val="24"/>
        </w:rPr>
        <w:lastRenderedPageBreak/>
        <w:t xml:space="preserve">consuming </w:t>
      </w:r>
      <w:r w:rsidR="005D1B25" w:rsidRPr="0033579B">
        <w:rPr>
          <w:rFonts w:ascii="Cambria" w:hAnsi="Cambria"/>
          <w:sz w:val="24"/>
          <w:szCs w:val="24"/>
        </w:rPr>
        <w:t xml:space="preserve">industrial unit viz. M/s Tata Steel Ltd., M/s TISCO Bamnipal, M/s FAP Joda, M/s JSL, Duburi, M/s JSPL, Joda, M/s Essar Steel, M/s Maithan Ispat Ltd, M/s </w:t>
      </w:r>
      <w:r w:rsidR="00132306" w:rsidRPr="0033579B">
        <w:rPr>
          <w:rFonts w:ascii="Cambria" w:hAnsi="Cambria"/>
          <w:sz w:val="24"/>
          <w:szCs w:val="24"/>
        </w:rPr>
        <w:t>M.S.P Sponge Iron Ltd</w:t>
      </w:r>
      <w:r w:rsidR="005D1B25" w:rsidRPr="0033579B">
        <w:rPr>
          <w:rFonts w:ascii="Cambria" w:hAnsi="Cambria"/>
          <w:sz w:val="24"/>
          <w:szCs w:val="24"/>
        </w:rPr>
        <w:t xml:space="preserve">, M/s MESCO Steel Ltd </w:t>
      </w:r>
      <w:r w:rsidR="00132306" w:rsidRPr="0033579B">
        <w:rPr>
          <w:rFonts w:ascii="Cambria" w:hAnsi="Cambria"/>
          <w:sz w:val="24"/>
          <w:szCs w:val="24"/>
        </w:rPr>
        <w:t xml:space="preserve">and M/s </w:t>
      </w:r>
      <w:r w:rsidR="00705064">
        <w:rPr>
          <w:rFonts w:ascii="Cambria" w:hAnsi="Cambria"/>
          <w:sz w:val="24"/>
          <w:szCs w:val="24"/>
        </w:rPr>
        <w:t>Joda East Iron Mines, M/s SJSPL</w:t>
      </w:r>
      <w:r w:rsidR="00132306" w:rsidRPr="0033579B">
        <w:rPr>
          <w:rFonts w:ascii="Cambria" w:hAnsi="Cambria"/>
          <w:sz w:val="24"/>
          <w:szCs w:val="24"/>
        </w:rPr>
        <w:t xml:space="preserve"> </w:t>
      </w:r>
      <w:r w:rsidR="005D1B25" w:rsidRPr="0033579B">
        <w:rPr>
          <w:rFonts w:ascii="Cambria" w:hAnsi="Cambria"/>
          <w:sz w:val="24"/>
          <w:szCs w:val="24"/>
        </w:rPr>
        <w:t xml:space="preserve">are allowed to draw power through Open Access. The </w:t>
      </w:r>
      <w:r w:rsidR="00132306" w:rsidRPr="0033579B">
        <w:rPr>
          <w:rFonts w:ascii="Cambria" w:hAnsi="Cambria"/>
          <w:sz w:val="24"/>
          <w:szCs w:val="24"/>
        </w:rPr>
        <w:t xml:space="preserve">drawl of power by </w:t>
      </w:r>
      <w:r w:rsidR="005D1B25" w:rsidRPr="0033579B">
        <w:rPr>
          <w:rFonts w:ascii="Cambria" w:hAnsi="Cambria"/>
          <w:sz w:val="24"/>
          <w:szCs w:val="24"/>
        </w:rPr>
        <w:t>above consumer</w:t>
      </w:r>
      <w:r w:rsidR="00283969" w:rsidRPr="0033579B">
        <w:rPr>
          <w:rFonts w:ascii="Cambria" w:hAnsi="Cambria"/>
          <w:sz w:val="24"/>
          <w:szCs w:val="24"/>
        </w:rPr>
        <w:t>s</w:t>
      </w:r>
      <w:r w:rsidR="005D1B25" w:rsidRPr="0033579B">
        <w:rPr>
          <w:rFonts w:ascii="Cambria" w:hAnsi="Cambria"/>
          <w:sz w:val="24"/>
          <w:szCs w:val="24"/>
        </w:rPr>
        <w:t xml:space="preserve"> </w:t>
      </w:r>
      <w:r w:rsidR="00132306" w:rsidRPr="0033579B">
        <w:rPr>
          <w:rFonts w:ascii="Cambria" w:hAnsi="Cambria"/>
          <w:sz w:val="24"/>
          <w:szCs w:val="24"/>
        </w:rPr>
        <w:t xml:space="preserve">through Open Access is </w:t>
      </w:r>
      <w:r w:rsidR="005D1B25" w:rsidRPr="0033579B">
        <w:rPr>
          <w:rFonts w:ascii="Cambria" w:hAnsi="Cambria"/>
          <w:sz w:val="24"/>
          <w:szCs w:val="24"/>
        </w:rPr>
        <w:t>approximately 1</w:t>
      </w:r>
      <w:r w:rsidR="00705064">
        <w:rPr>
          <w:rFonts w:ascii="Cambria" w:hAnsi="Cambria"/>
          <w:sz w:val="24"/>
          <w:szCs w:val="24"/>
        </w:rPr>
        <w:t>15</w:t>
      </w:r>
      <w:r w:rsidR="005D1B25" w:rsidRPr="0033579B">
        <w:rPr>
          <w:rFonts w:ascii="Cambria" w:hAnsi="Cambria"/>
          <w:sz w:val="24"/>
          <w:szCs w:val="24"/>
        </w:rPr>
        <w:t xml:space="preserve"> MU per month</w:t>
      </w:r>
      <w:r w:rsidR="00283969" w:rsidRPr="0033579B">
        <w:rPr>
          <w:rFonts w:ascii="Cambria" w:hAnsi="Cambria"/>
          <w:sz w:val="24"/>
          <w:szCs w:val="24"/>
        </w:rPr>
        <w:t xml:space="preserve">. </w:t>
      </w:r>
      <w:r w:rsidR="00A157C2">
        <w:rPr>
          <w:rFonts w:ascii="Cambria" w:hAnsi="Cambria"/>
          <w:sz w:val="24"/>
          <w:szCs w:val="24"/>
        </w:rPr>
        <w:t xml:space="preserve">Further industries like NINL, Jabamayee Ferro Ispat, maithan Ispat, MESCO and even M/s Balasore Alloys Ltd are severely suffering from raw Material crisis. Power supply of the Industries like M/s Maithan Ispat and M/s Jabamyee has been disconnected. </w:t>
      </w:r>
      <w:r w:rsidR="00283969" w:rsidRPr="0033579B">
        <w:rPr>
          <w:rFonts w:ascii="Cambria" w:hAnsi="Cambria"/>
          <w:sz w:val="24"/>
          <w:szCs w:val="24"/>
        </w:rPr>
        <w:t xml:space="preserve">Due to which the utility has taken conservative approach while projecting sale under EHT category. Inspite of above the utility has projected </w:t>
      </w:r>
      <w:r w:rsidR="0033579B">
        <w:rPr>
          <w:rFonts w:ascii="Cambria" w:hAnsi="Cambria"/>
          <w:sz w:val="24"/>
          <w:szCs w:val="24"/>
        </w:rPr>
        <w:t>a higher</w:t>
      </w:r>
      <w:r w:rsidR="00283969" w:rsidRPr="0033579B">
        <w:rPr>
          <w:rFonts w:ascii="Cambria" w:hAnsi="Cambria"/>
          <w:sz w:val="24"/>
          <w:szCs w:val="24"/>
        </w:rPr>
        <w:t xml:space="preserve"> EHT sales as 2</w:t>
      </w:r>
      <w:r w:rsidR="00132306" w:rsidRPr="0033579B">
        <w:rPr>
          <w:rFonts w:ascii="Cambria" w:hAnsi="Cambria"/>
          <w:sz w:val="24"/>
          <w:szCs w:val="24"/>
        </w:rPr>
        <w:t>1</w:t>
      </w:r>
      <w:r w:rsidR="00705064">
        <w:rPr>
          <w:rFonts w:ascii="Cambria" w:hAnsi="Cambria"/>
          <w:sz w:val="24"/>
          <w:szCs w:val="24"/>
        </w:rPr>
        <w:t>91</w:t>
      </w:r>
      <w:r w:rsidR="00283969" w:rsidRPr="0033579B">
        <w:rPr>
          <w:rFonts w:ascii="Cambria" w:hAnsi="Cambria"/>
          <w:sz w:val="24"/>
          <w:szCs w:val="24"/>
        </w:rPr>
        <w:t>.</w:t>
      </w:r>
      <w:r w:rsidR="00705064">
        <w:rPr>
          <w:rFonts w:ascii="Cambria" w:hAnsi="Cambria"/>
          <w:sz w:val="24"/>
          <w:szCs w:val="24"/>
        </w:rPr>
        <w:t>439</w:t>
      </w:r>
      <w:r w:rsidR="00283969" w:rsidRPr="0033579B">
        <w:rPr>
          <w:rFonts w:ascii="Cambria" w:hAnsi="Cambria"/>
          <w:sz w:val="24"/>
          <w:szCs w:val="24"/>
        </w:rPr>
        <w:t xml:space="preserve"> MU considering </w:t>
      </w:r>
      <w:r w:rsidR="006161D0">
        <w:rPr>
          <w:rFonts w:ascii="Cambria" w:hAnsi="Cambria"/>
          <w:sz w:val="24"/>
          <w:szCs w:val="24"/>
        </w:rPr>
        <w:t>growth</w:t>
      </w:r>
      <w:r w:rsidR="00132306" w:rsidRPr="0033579B">
        <w:rPr>
          <w:rFonts w:ascii="Cambria" w:hAnsi="Cambria"/>
          <w:sz w:val="24"/>
          <w:szCs w:val="24"/>
        </w:rPr>
        <w:t xml:space="preserve"> of </w:t>
      </w:r>
      <w:r w:rsidR="0067570A" w:rsidRPr="0033579B">
        <w:rPr>
          <w:rFonts w:ascii="Cambria" w:hAnsi="Cambria"/>
          <w:sz w:val="24"/>
          <w:szCs w:val="24"/>
        </w:rPr>
        <w:t xml:space="preserve">some of industry like </w:t>
      </w:r>
      <w:r w:rsidR="006161D0">
        <w:rPr>
          <w:rFonts w:ascii="Cambria" w:hAnsi="Cambria"/>
          <w:sz w:val="24"/>
          <w:szCs w:val="24"/>
        </w:rPr>
        <w:t xml:space="preserve">Railway, </w:t>
      </w:r>
      <w:r w:rsidR="00132306" w:rsidRPr="0033579B">
        <w:rPr>
          <w:rFonts w:ascii="Cambria" w:hAnsi="Cambria"/>
          <w:sz w:val="24"/>
          <w:szCs w:val="24"/>
        </w:rPr>
        <w:t xml:space="preserve">M/s </w:t>
      </w:r>
      <w:r w:rsidR="006161D0">
        <w:rPr>
          <w:rFonts w:ascii="Cambria" w:hAnsi="Cambria"/>
          <w:sz w:val="24"/>
          <w:szCs w:val="24"/>
        </w:rPr>
        <w:t>Emami Paper Mills Ltd, Mishrilal Mines Ltd, M/s St</w:t>
      </w:r>
      <w:r w:rsidR="00132306" w:rsidRPr="0033579B">
        <w:rPr>
          <w:rFonts w:ascii="Cambria" w:hAnsi="Cambria"/>
          <w:sz w:val="24"/>
          <w:szCs w:val="24"/>
        </w:rPr>
        <w:t>ork Ferro Ltd</w:t>
      </w:r>
      <w:r w:rsidR="0067570A" w:rsidRPr="0033579B">
        <w:rPr>
          <w:rFonts w:ascii="Cambria" w:hAnsi="Cambria"/>
          <w:sz w:val="24"/>
          <w:szCs w:val="24"/>
        </w:rPr>
        <w:t xml:space="preserve"> and M/s </w:t>
      </w:r>
      <w:r w:rsidR="006161D0">
        <w:rPr>
          <w:rFonts w:ascii="Cambria" w:hAnsi="Cambria"/>
          <w:sz w:val="24"/>
          <w:szCs w:val="24"/>
        </w:rPr>
        <w:t>B.C.Mohanty,</w:t>
      </w:r>
      <w:r w:rsidR="00132306" w:rsidRPr="0033579B">
        <w:rPr>
          <w:rFonts w:ascii="Cambria" w:hAnsi="Cambria"/>
          <w:sz w:val="24"/>
          <w:szCs w:val="24"/>
        </w:rPr>
        <w:t xml:space="preserve"> </w:t>
      </w:r>
      <w:r w:rsidR="0067570A" w:rsidRPr="0033579B">
        <w:rPr>
          <w:rFonts w:ascii="Cambria" w:hAnsi="Cambria"/>
          <w:sz w:val="24"/>
          <w:szCs w:val="24"/>
        </w:rPr>
        <w:t xml:space="preserve">upcoming industry like </w:t>
      </w:r>
      <w:r w:rsidR="006161D0">
        <w:rPr>
          <w:rFonts w:ascii="Cambria" w:hAnsi="Cambria"/>
          <w:sz w:val="24"/>
          <w:szCs w:val="24"/>
        </w:rPr>
        <w:t>JSW Cement Ltd.</w:t>
      </w:r>
    </w:p>
    <w:p w:rsidR="004276A0" w:rsidRPr="0033579B" w:rsidRDefault="004276A0" w:rsidP="004276A0">
      <w:pPr>
        <w:pStyle w:val="BodyText2"/>
        <w:spacing w:line="360" w:lineRule="auto"/>
        <w:jc w:val="both"/>
        <w:rPr>
          <w:rFonts w:ascii="Cambria" w:hAnsi="Cambria"/>
          <w:sz w:val="24"/>
          <w:szCs w:val="24"/>
        </w:rPr>
      </w:pPr>
      <w:r w:rsidRPr="0033579B">
        <w:rPr>
          <w:rFonts w:ascii="Cambria" w:hAnsi="Cambria"/>
          <w:sz w:val="24"/>
          <w:szCs w:val="24"/>
        </w:rPr>
        <w:t xml:space="preserve"> The summary of the </w:t>
      </w:r>
      <w:r w:rsidR="00B21CBE" w:rsidRPr="0033579B">
        <w:rPr>
          <w:rFonts w:ascii="Cambria" w:hAnsi="Cambria"/>
          <w:sz w:val="24"/>
          <w:szCs w:val="24"/>
        </w:rPr>
        <w:t xml:space="preserve">category-wise </w:t>
      </w:r>
      <w:r w:rsidRPr="0033579B">
        <w:rPr>
          <w:rFonts w:ascii="Cambria" w:hAnsi="Cambria"/>
          <w:sz w:val="24"/>
          <w:szCs w:val="24"/>
        </w:rPr>
        <w:t xml:space="preserve">sales </w:t>
      </w:r>
      <w:r w:rsidR="00B21CBE" w:rsidRPr="0033579B">
        <w:rPr>
          <w:rFonts w:ascii="Cambria" w:hAnsi="Cambria"/>
          <w:sz w:val="24"/>
          <w:szCs w:val="24"/>
        </w:rPr>
        <w:t>in MUs</w:t>
      </w:r>
      <w:r w:rsidRPr="0033579B">
        <w:rPr>
          <w:rFonts w:ascii="Cambria" w:hAnsi="Cambria"/>
          <w:sz w:val="24"/>
          <w:szCs w:val="24"/>
        </w:rPr>
        <w:t xml:space="preserve"> has been shown in table below.</w:t>
      </w:r>
    </w:p>
    <w:tbl>
      <w:tblPr>
        <w:tblW w:w="8520" w:type="dxa"/>
        <w:tblInd w:w="93" w:type="dxa"/>
        <w:tblLook w:val="04A0"/>
      </w:tblPr>
      <w:tblGrid>
        <w:gridCol w:w="2840"/>
        <w:gridCol w:w="1360"/>
        <w:gridCol w:w="1440"/>
        <w:gridCol w:w="1440"/>
        <w:gridCol w:w="1440"/>
      </w:tblGrid>
      <w:tr w:rsidR="0006119F" w:rsidRPr="00852A4A" w:rsidTr="00852A4A">
        <w:trPr>
          <w:trHeight w:val="330"/>
        </w:trPr>
        <w:tc>
          <w:tcPr>
            <w:tcW w:w="2840" w:type="dxa"/>
            <w:tcBorders>
              <w:top w:val="single" w:sz="8" w:space="0" w:color="auto"/>
              <w:left w:val="single" w:sz="8" w:space="0" w:color="auto"/>
              <w:bottom w:val="single" w:sz="8" w:space="0" w:color="auto"/>
              <w:right w:val="single" w:sz="8" w:space="0" w:color="auto"/>
            </w:tcBorders>
            <w:shd w:val="clear" w:color="000000" w:fill="FFCC99"/>
            <w:noWrap/>
            <w:vAlign w:val="bottom"/>
            <w:hideMark/>
          </w:tcPr>
          <w:p w:rsidR="0006119F" w:rsidRPr="00852A4A" w:rsidRDefault="0006119F" w:rsidP="00875402">
            <w:pPr>
              <w:jc w:val="center"/>
              <w:rPr>
                <w:rFonts w:ascii="Cambria" w:hAnsi="Cambria"/>
                <w:b/>
                <w:bCs/>
                <w:color w:val="000000"/>
              </w:rPr>
            </w:pPr>
            <w:r w:rsidRPr="00852A4A">
              <w:rPr>
                <w:rFonts w:ascii="Cambria" w:hAnsi="Cambria"/>
                <w:b/>
                <w:bCs/>
                <w:color w:val="000000"/>
              </w:rPr>
              <w:t>Sales (MU)</w:t>
            </w:r>
          </w:p>
        </w:tc>
        <w:tc>
          <w:tcPr>
            <w:tcW w:w="1360" w:type="dxa"/>
            <w:tcBorders>
              <w:top w:val="single" w:sz="8" w:space="0" w:color="auto"/>
              <w:left w:val="nil"/>
              <w:bottom w:val="single" w:sz="8" w:space="0" w:color="auto"/>
              <w:right w:val="single" w:sz="8" w:space="0" w:color="auto"/>
            </w:tcBorders>
            <w:shd w:val="clear" w:color="000000" w:fill="FFCC99"/>
            <w:noWrap/>
            <w:vAlign w:val="center"/>
            <w:hideMark/>
          </w:tcPr>
          <w:p w:rsidR="0006119F" w:rsidRDefault="0006119F" w:rsidP="00F42E0C">
            <w:pPr>
              <w:jc w:val="center"/>
              <w:rPr>
                <w:rFonts w:ascii="Cambria" w:hAnsi="Cambria" w:cs="Arial"/>
                <w:b/>
                <w:bCs/>
                <w:color w:val="000000"/>
              </w:rPr>
            </w:pPr>
            <w:r>
              <w:rPr>
                <w:rFonts w:ascii="Cambria" w:hAnsi="Cambria" w:cs="Arial"/>
                <w:b/>
                <w:bCs/>
                <w:color w:val="000000"/>
              </w:rPr>
              <w:t>FY 2017-18</w:t>
            </w:r>
          </w:p>
        </w:tc>
        <w:tc>
          <w:tcPr>
            <w:tcW w:w="1440" w:type="dxa"/>
            <w:tcBorders>
              <w:top w:val="single" w:sz="8" w:space="0" w:color="auto"/>
              <w:left w:val="nil"/>
              <w:bottom w:val="single" w:sz="8" w:space="0" w:color="auto"/>
              <w:right w:val="single" w:sz="8" w:space="0" w:color="auto"/>
            </w:tcBorders>
            <w:shd w:val="clear" w:color="000000" w:fill="FFCC99"/>
            <w:noWrap/>
            <w:vAlign w:val="center"/>
            <w:hideMark/>
          </w:tcPr>
          <w:p w:rsidR="0006119F" w:rsidRDefault="0006119F" w:rsidP="00F42E0C">
            <w:pPr>
              <w:jc w:val="center"/>
              <w:rPr>
                <w:rFonts w:ascii="Cambria" w:hAnsi="Cambria" w:cs="Arial"/>
                <w:b/>
                <w:bCs/>
                <w:color w:val="000000"/>
              </w:rPr>
            </w:pPr>
            <w:r>
              <w:rPr>
                <w:rFonts w:ascii="Cambria" w:hAnsi="Cambria" w:cs="Arial"/>
                <w:b/>
                <w:bCs/>
                <w:color w:val="000000"/>
              </w:rPr>
              <w:t>FY 2018-19</w:t>
            </w:r>
          </w:p>
        </w:tc>
        <w:tc>
          <w:tcPr>
            <w:tcW w:w="1440" w:type="dxa"/>
            <w:tcBorders>
              <w:top w:val="single" w:sz="8" w:space="0" w:color="auto"/>
              <w:left w:val="nil"/>
              <w:bottom w:val="single" w:sz="8" w:space="0" w:color="auto"/>
              <w:right w:val="single" w:sz="8" w:space="0" w:color="auto"/>
            </w:tcBorders>
            <w:shd w:val="clear" w:color="000000" w:fill="FFCC99"/>
            <w:noWrap/>
            <w:vAlign w:val="center"/>
            <w:hideMark/>
          </w:tcPr>
          <w:p w:rsidR="0006119F" w:rsidRDefault="0006119F" w:rsidP="00F42E0C">
            <w:pPr>
              <w:jc w:val="center"/>
              <w:rPr>
                <w:rFonts w:ascii="Cambria" w:hAnsi="Cambria" w:cs="Arial"/>
                <w:b/>
                <w:bCs/>
                <w:color w:val="000000"/>
              </w:rPr>
            </w:pPr>
            <w:r>
              <w:rPr>
                <w:rFonts w:ascii="Cambria" w:hAnsi="Cambria" w:cs="Arial"/>
                <w:b/>
                <w:bCs/>
                <w:color w:val="000000"/>
              </w:rPr>
              <w:t>FY 2019-20</w:t>
            </w:r>
          </w:p>
        </w:tc>
        <w:tc>
          <w:tcPr>
            <w:tcW w:w="1440" w:type="dxa"/>
            <w:tcBorders>
              <w:top w:val="single" w:sz="8" w:space="0" w:color="auto"/>
              <w:left w:val="nil"/>
              <w:bottom w:val="single" w:sz="8" w:space="0" w:color="auto"/>
              <w:right w:val="single" w:sz="8" w:space="0" w:color="auto"/>
            </w:tcBorders>
            <w:shd w:val="clear" w:color="000000" w:fill="FFCC99"/>
            <w:noWrap/>
            <w:vAlign w:val="center"/>
            <w:hideMark/>
          </w:tcPr>
          <w:p w:rsidR="0006119F" w:rsidRDefault="0006119F" w:rsidP="0006119F">
            <w:pPr>
              <w:jc w:val="center"/>
              <w:rPr>
                <w:rFonts w:ascii="Cambria" w:hAnsi="Cambria" w:cs="Arial"/>
                <w:b/>
                <w:bCs/>
                <w:color w:val="000000"/>
              </w:rPr>
            </w:pPr>
            <w:r>
              <w:rPr>
                <w:rFonts w:ascii="Cambria" w:hAnsi="Cambria" w:cs="Arial"/>
                <w:b/>
                <w:bCs/>
                <w:color w:val="000000"/>
              </w:rPr>
              <w:t>FY 2020-21</w:t>
            </w:r>
          </w:p>
        </w:tc>
      </w:tr>
      <w:tr w:rsidR="0006119F" w:rsidRPr="00852A4A" w:rsidTr="00852A4A">
        <w:trPr>
          <w:trHeight w:val="330"/>
        </w:trPr>
        <w:tc>
          <w:tcPr>
            <w:tcW w:w="2840" w:type="dxa"/>
            <w:tcBorders>
              <w:top w:val="nil"/>
              <w:left w:val="single" w:sz="8" w:space="0" w:color="auto"/>
              <w:bottom w:val="single" w:sz="8" w:space="0" w:color="auto"/>
              <w:right w:val="single" w:sz="8" w:space="0" w:color="auto"/>
            </w:tcBorders>
            <w:shd w:val="clear" w:color="auto" w:fill="auto"/>
            <w:noWrap/>
            <w:vAlign w:val="bottom"/>
            <w:hideMark/>
          </w:tcPr>
          <w:p w:rsidR="0006119F" w:rsidRPr="00852A4A" w:rsidRDefault="0006119F" w:rsidP="00875402">
            <w:pPr>
              <w:rPr>
                <w:rFonts w:ascii="Cambria" w:hAnsi="Cambria"/>
                <w:color w:val="000000"/>
              </w:rPr>
            </w:pPr>
            <w:r w:rsidRPr="00852A4A">
              <w:rPr>
                <w:rFonts w:ascii="Cambria" w:hAnsi="Cambria"/>
                <w:color w:val="000000"/>
              </w:rPr>
              <w:t>LT</w:t>
            </w:r>
          </w:p>
        </w:tc>
        <w:tc>
          <w:tcPr>
            <w:tcW w:w="1360" w:type="dxa"/>
            <w:tcBorders>
              <w:top w:val="nil"/>
              <w:left w:val="nil"/>
              <w:bottom w:val="single" w:sz="8" w:space="0" w:color="auto"/>
              <w:right w:val="single" w:sz="8" w:space="0" w:color="auto"/>
            </w:tcBorders>
            <w:shd w:val="clear" w:color="auto" w:fill="auto"/>
            <w:noWrap/>
            <w:vAlign w:val="center"/>
            <w:hideMark/>
          </w:tcPr>
          <w:p w:rsidR="0006119F" w:rsidRDefault="0006119F" w:rsidP="00F42E0C">
            <w:pPr>
              <w:jc w:val="center"/>
              <w:rPr>
                <w:rFonts w:ascii="Cambria" w:hAnsi="Cambria" w:cs="Arial"/>
                <w:color w:val="000000"/>
              </w:rPr>
            </w:pPr>
            <w:r>
              <w:rPr>
                <w:rFonts w:ascii="Cambria" w:hAnsi="Cambria" w:cs="Arial"/>
                <w:color w:val="000000"/>
              </w:rPr>
              <w:t>1795.472</w:t>
            </w:r>
          </w:p>
        </w:tc>
        <w:tc>
          <w:tcPr>
            <w:tcW w:w="1440" w:type="dxa"/>
            <w:tcBorders>
              <w:top w:val="nil"/>
              <w:left w:val="nil"/>
              <w:bottom w:val="single" w:sz="8" w:space="0" w:color="auto"/>
              <w:right w:val="single" w:sz="8" w:space="0" w:color="auto"/>
            </w:tcBorders>
            <w:shd w:val="clear" w:color="auto" w:fill="auto"/>
            <w:noWrap/>
            <w:vAlign w:val="center"/>
            <w:hideMark/>
          </w:tcPr>
          <w:p w:rsidR="0006119F" w:rsidRDefault="0006119F" w:rsidP="00F42E0C">
            <w:pPr>
              <w:jc w:val="center"/>
              <w:rPr>
                <w:rFonts w:ascii="Cambria" w:hAnsi="Cambria" w:cs="Arial"/>
                <w:color w:val="000000"/>
              </w:rPr>
            </w:pPr>
            <w:r>
              <w:rPr>
                <w:rFonts w:ascii="Cambria" w:hAnsi="Cambria" w:cs="Arial"/>
                <w:color w:val="000000"/>
              </w:rPr>
              <w:t>1920.550</w:t>
            </w:r>
          </w:p>
        </w:tc>
        <w:tc>
          <w:tcPr>
            <w:tcW w:w="1440" w:type="dxa"/>
            <w:tcBorders>
              <w:top w:val="nil"/>
              <w:left w:val="nil"/>
              <w:bottom w:val="single" w:sz="8" w:space="0" w:color="auto"/>
              <w:right w:val="single" w:sz="8" w:space="0" w:color="auto"/>
            </w:tcBorders>
            <w:shd w:val="clear" w:color="auto" w:fill="auto"/>
            <w:noWrap/>
            <w:vAlign w:val="center"/>
            <w:hideMark/>
          </w:tcPr>
          <w:p w:rsidR="0006119F" w:rsidRDefault="0006119F" w:rsidP="00F42E0C">
            <w:pPr>
              <w:jc w:val="center"/>
              <w:rPr>
                <w:rFonts w:ascii="Cambria" w:hAnsi="Cambria" w:cs="Arial"/>
                <w:color w:val="000000"/>
              </w:rPr>
            </w:pPr>
            <w:r>
              <w:rPr>
                <w:rFonts w:ascii="Cambria" w:hAnsi="Cambria" w:cs="Arial"/>
                <w:color w:val="000000"/>
              </w:rPr>
              <w:t>2369.439</w:t>
            </w:r>
          </w:p>
        </w:tc>
        <w:tc>
          <w:tcPr>
            <w:tcW w:w="1440" w:type="dxa"/>
            <w:tcBorders>
              <w:top w:val="nil"/>
              <w:left w:val="nil"/>
              <w:bottom w:val="single" w:sz="8" w:space="0" w:color="auto"/>
              <w:right w:val="single" w:sz="8" w:space="0" w:color="auto"/>
            </w:tcBorders>
            <w:shd w:val="clear" w:color="auto" w:fill="auto"/>
            <w:vAlign w:val="center"/>
            <w:hideMark/>
          </w:tcPr>
          <w:p w:rsidR="0006119F" w:rsidRDefault="0006119F">
            <w:pPr>
              <w:jc w:val="center"/>
              <w:rPr>
                <w:rFonts w:ascii="Cambria" w:hAnsi="Cambria" w:cs="Arial"/>
                <w:color w:val="000000"/>
              </w:rPr>
            </w:pPr>
            <w:r>
              <w:rPr>
                <w:rFonts w:ascii="Cambria" w:hAnsi="Cambria" w:cs="Arial"/>
                <w:color w:val="000000"/>
              </w:rPr>
              <w:t>2714.849</w:t>
            </w:r>
          </w:p>
        </w:tc>
      </w:tr>
      <w:tr w:rsidR="0006119F" w:rsidRPr="00852A4A" w:rsidTr="00852A4A">
        <w:trPr>
          <w:trHeight w:val="330"/>
        </w:trPr>
        <w:tc>
          <w:tcPr>
            <w:tcW w:w="2840" w:type="dxa"/>
            <w:tcBorders>
              <w:top w:val="nil"/>
              <w:left w:val="single" w:sz="8" w:space="0" w:color="auto"/>
              <w:bottom w:val="single" w:sz="8" w:space="0" w:color="auto"/>
              <w:right w:val="single" w:sz="8" w:space="0" w:color="auto"/>
            </w:tcBorders>
            <w:shd w:val="clear" w:color="auto" w:fill="auto"/>
            <w:noWrap/>
            <w:vAlign w:val="bottom"/>
            <w:hideMark/>
          </w:tcPr>
          <w:p w:rsidR="0006119F" w:rsidRPr="00852A4A" w:rsidRDefault="0006119F" w:rsidP="00875402">
            <w:pPr>
              <w:rPr>
                <w:rFonts w:ascii="Cambria" w:hAnsi="Cambria"/>
                <w:color w:val="000000"/>
              </w:rPr>
            </w:pPr>
            <w:r w:rsidRPr="00852A4A">
              <w:rPr>
                <w:rFonts w:ascii="Cambria" w:hAnsi="Cambria"/>
                <w:color w:val="000000"/>
              </w:rPr>
              <w:t>HT</w:t>
            </w:r>
          </w:p>
        </w:tc>
        <w:tc>
          <w:tcPr>
            <w:tcW w:w="1360" w:type="dxa"/>
            <w:tcBorders>
              <w:top w:val="nil"/>
              <w:left w:val="nil"/>
              <w:bottom w:val="single" w:sz="8" w:space="0" w:color="auto"/>
              <w:right w:val="single" w:sz="8" w:space="0" w:color="auto"/>
            </w:tcBorders>
            <w:shd w:val="clear" w:color="auto" w:fill="auto"/>
            <w:noWrap/>
            <w:vAlign w:val="center"/>
            <w:hideMark/>
          </w:tcPr>
          <w:p w:rsidR="0006119F" w:rsidRDefault="0006119F" w:rsidP="00F42E0C">
            <w:pPr>
              <w:jc w:val="center"/>
              <w:rPr>
                <w:rFonts w:ascii="Cambria" w:hAnsi="Cambria" w:cs="Arial"/>
                <w:color w:val="000000"/>
              </w:rPr>
            </w:pPr>
            <w:r>
              <w:rPr>
                <w:rFonts w:ascii="Cambria" w:hAnsi="Cambria" w:cs="Arial"/>
                <w:color w:val="000000"/>
              </w:rPr>
              <w:t>441.717</w:t>
            </w:r>
          </w:p>
        </w:tc>
        <w:tc>
          <w:tcPr>
            <w:tcW w:w="1440" w:type="dxa"/>
            <w:tcBorders>
              <w:top w:val="nil"/>
              <w:left w:val="nil"/>
              <w:bottom w:val="single" w:sz="8" w:space="0" w:color="auto"/>
              <w:right w:val="single" w:sz="8" w:space="0" w:color="auto"/>
            </w:tcBorders>
            <w:shd w:val="clear" w:color="auto" w:fill="auto"/>
            <w:noWrap/>
            <w:vAlign w:val="center"/>
            <w:hideMark/>
          </w:tcPr>
          <w:p w:rsidR="0006119F" w:rsidRDefault="0006119F" w:rsidP="00F42E0C">
            <w:pPr>
              <w:jc w:val="center"/>
              <w:rPr>
                <w:rFonts w:ascii="Cambria" w:hAnsi="Cambria" w:cs="Arial"/>
                <w:color w:val="000000"/>
              </w:rPr>
            </w:pPr>
            <w:r>
              <w:rPr>
                <w:rFonts w:ascii="Cambria" w:hAnsi="Cambria" w:cs="Arial"/>
                <w:color w:val="000000"/>
              </w:rPr>
              <w:t>431.340</w:t>
            </w:r>
          </w:p>
        </w:tc>
        <w:tc>
          <w:tcPr>
            <w:tcW w:w="1440" w:type="dxa"/>
            <w:tcBorders>
              <w:top w:val="nil"/>
              <w:left w:val="nil"/>
              <w:bottom w:val="single" w:sz="8" w:space="0" w:color="auto"/>
              <w:right w:val="single" w:sz="8" w:space="0" w:color="auto"/>
            </w:tcBorders>
            <w:shd w:val="clear" w:color="auto" w:fill="auto"/>
            <w:noWrap/>
            <w:vAlign w:val="center"/>
            <w:hideMark/>
          </w:tcPr>
          <w:p w:rsidR="0006119F" w:rsidRDefault="0006119F" w:rsidP="00F42E0C">
            <w:pPr>
              <w:jc w:val="center"/>
              <w:rPr>
                <w:rFonts w:ascii="Cambria" w:hAnsi="Cambria" w:cs="Arial"/>
                <w:color w:val="000000"/>
              </w:rPr>
            </w:pPr>
            <w:r>
              <w:rPr>
                <w:rFonts w:ascii="Cambria" w:hAnsi="Cambria" w:cs="Arial"/>
                <w:color w:val="000000"/>
              </w:rPr>
              <w:t>436.267</w:t>
            </w:r>
          </w:p>
        </w:tc>
        <w:tc>
          <w:tcPr>
            <w:tcW w:w="1440" w:type="dxa"/>
            <w:tcBorders>
              <w:top w:val="nil"/>
              <w:left w:val="nil"/>
              <w:bottom w:val="single" w:sz="8" w:space="0" w:color="auto"/>
              <w:right w:val="single" w:sz="8" w:space="0" w:color="auto"/>
            </w:tcBorders>
            <w:shd w:val="clear" w:color="auto" w:fill="auto"/>
            <w:vAlign w:val="center"/>
            <w:hideMark/>
          </w:tcPr>
          <w:p w:rsidR="0006119F" w:rsidRDefault="0006119F">
            <w:pPr>
              <w:jc w:val="center"/>
              <w:rPr>
                <w:rFonts w:ascii="Cambria" w:hAnsi="Cambria" w:cs="Arial"/>
                <w:color w:val="000000"/>
              </w:rPr>
            </w:pPr>
            <w:r>
              <w:rPr>
                <w:rFonts w:ascii="Cambria" w:hAnsi="Cambria" w:cs="Arial"/>
                <w:color w:val="000000"/>
              </w:rPr>
              <w:t>439.281</w:t>
            </w:r>
          </w:p>
        </w:tc>
      </w:tr>
      <w:tr w:rsidR="0006119F" w:rsidRPr="00852A4A" w:rsidTr="00852A4A">
        <w:trPr>
          <w:trHeight w:val="330"/>
        </w:trPr>
        <w:tc>
          <w:tcPr>
            <w:tcW w:w="2840" w:type="dxa"/>
            <w:tcBorders>
              <w:top w:val="nil"/>
              <w:left w:val="single" w:sz="8" w:space="0" w:color="auto"/>
              <w:bottom w:val="single" w:sz="8" w:space="0" w:color="auto"/>
              <w:right w:val="single" w:sz="8" w:space="0" w:color="auto"/>
            </w:tcBorders>
            <w:shd w:val="clear" w:color="auto" w:fill="auto"/>
            <w:noWrap/>
            <w:vAlign w:val="bottom"/>
            <w:hideMark/>
          </w:tcPr>
          <w:p w:rsidR="0006119F" w:rsidRPr="00852A4A" w:rsidRDefault="0006119F" w:rsidP="00875402">
            <w:pPr>
              <w:rPr>
                <w:rFonts w:ascii="Cambria" w:hAnsi="Cambria"/>
                <w:color w:val="000000"/>
              </w:rPr>
            </w:pPr>
            <w:r w:rsidRPr="00852A4A">
              <w:rPr>
                <w:rFonts w:ascii="Cambria" w:hAnsi="Cambria"/>
                <w:color w:val="000000"/>
              </w:rPr>
              <w:t>EHT</w:t>
            </w:r>
          </w:p>
        </w:tc>
        <w:tc>
          <w:tcPr>
            <w:tcW w:w="1360" w:type="dxa"/>
            <w:tcBorders>
              <w:top w:val="nil"/>
              <w:left w:val="nil"/>
              <w:bottom w:val="single" w:sz="8" w:space="0" w:color="auto"/>
              <w:right w:val="single" w:sz="8" w:space="0" w:color="auto"/>
            </w:tcBorders>
            <w:shd w:val="clear" w:color="auto" w:fill="auto"/>
            <w:noWrap/>
            <w:vAlign w:val="center"/>
            <w:hideMark/>
          </w:tcPr>
          <w:p w:rsidR="0006119F" w:rsidRDefault="0006119F" w:rsidP="00F42E0C">
            <w:pPr>
              <w:jc w:val="center"/>
              <w:rPr>
                <w:rFonts w:ascii="Cambria" w:hAnsi="Cambria" w:cs="Arial"/>
                <w:color w:val="000000"/>
              </w:rPr>
            </w:pPr>
            <w:r>
              <w:rPr>
                <w:rFonts w:ascii="Cambria" w:hAnsi="Cambria" w:cs="Arial"/>
                <w:color w:val="000000"/>
              </w:rPr>
              <w:t>1997.772</w:t>
            </w:r>
          </w:p>
        </w:tc>
        <w:tc>
          <w:tcPr>
            <w:tcW w:w="1440" w:type="dxa"/>
            <w:tcBorders>
              <w:top w:val="nil"/>
              <w:left w:val="nil"/>
              <w:bottom w:val="single" w:sz="8" w:space="0" w:color="auto"/>
              <w:right w:val="single" w:sz="8" w:space="0" w:color="auto"/>
            </w:tcBorders>
            <w:shd w:val="clear" w:color="auto" w:fill="auto"/>
            <w:noWrap/>
            <w:vAlign w:val="center"/>
            <w:hideMark/>
          </w:tcPr>
          <w:p w:rsidR="0006119F" w:rsidRDefault="0006119F" w:rsidP="00F42E0C">
            <w:pPr>
              <w:jc w:val="center"/>
              <w:rPr>
                <w:rFonts w:ascii="Cambria" w:hAnsi="Cambria" w:cs="Arial"/>
                <w:color w:val="000000"/>
              </w:rPr>
            </w:pPr>
            <w:r>
              <w:rPr>
                <w:rFonts w:ascii="Cambria" w:hAnsi="Cambria" w:cs="Arial"/>
                <w:color w:val="000000"/>
              </w:rPr>
              <w:t>2179.026</w:t>
            </w:r>
          </w:p>
        </w:tc>
        <w:tc>
          <w:tcPr>
            <w:tcW w:w="1440" w:type="dxa"/>
            <w:tcBorders>
              <w:top w:val="nil"/>
              <w:left w:val="nil"/>
              <w:bottom w:val="single" w:sz="8" w:space="0" w:color="auto"/>
              <w:right w:val="single" w:sz="8" w:space="0" w:color="auto"/>
            </w:tcBorders>
            <w:shd w:val="clear" w:color="auto" w:fill="auto"/>
            <w:noWrap/>
            <w:vAlign w:val="center"/>
            <w:hideMark/>
          </w:tcPr>
          <w:p w:rsidR="0006119F" w:rsidRDefault="0006119F" w:rsidP="00F42E0C">
            <w:pPr>
              <w:jc w:val="center"/>
              <w:rPr>
                <w:rFonts w:ascii="Cambria" w:hAnsi="Cambria" w:cs="Arial"/>
                <w:color w:val="000000"/>
              </w:rPr>
            </w:pPr>
            <w:r>
              <w:rPr>
                <w:rFonts w:ascii="Cambria" w:hAnsi="Cambria" w:cs="Arial"/>
                <w:color w:val="000000"/>
              </w:rPr>
              <w:t>2121.772</w:t>
            </w:r>
          </w:p>
        </w:tc>
        <w:tc>
          <w:tcPr>
            <w:tcW w:w="1440" w:type="dxa"/>
            <w:tcBorders>
              <w:top w:val="nil"/>
              <w:left w:val="nil"/>
              <w:bottom w:val="single" w:sz="8" w:space="0" w:color="auto"/>
              <w:right w:val="single" w:sz="8" w:space="0" w:color="auto"/>
            </w:tcBorders>
            <w:shd w:val="clear" w:color="auto" w:fill="auto"/>
            <w:vAlign w:val="center"/>
            <w:hideMark/>
          </w:tcPr>
          <w:p w:rsidR="0006119F" w:rsidRDefault="0006119F">
            <w:pPr>
              <w:jc w:val="center"/>
              <w:rPr>
                <w:rFonts w:ascii="Cambria" w:hAnsi="Cambria" w:cs="Arial"/>
                <w:color w:val="000000"/>
              </w:rPr>
            </w:pPr>
            <w:r>
              <w:rPr>
                <w:rFonts w:ascii="Cambria" w:hAnsi="Cambria" w:cs="Arial"/>
                <w:color w:val="000000"/>
              </w:rPr>
              <w:t>2191.439</w:t>
            </w:r>
          </w:p>
        </w:tc>
      </w:tr>
      <w:tr w:rsidR="0006119F" w:rsidRPr="008F0724" w:rsidTr="00852A4A">
        <w:trPr>
          <w:trHeight w:val="330"/>
        </w:trPr>
        <w:tc>
          <w:tcPr>
            <w:tcW w:w="2840" w:type="dxa"/>
            <w:tcBorders>
              <w:top w:val="nil"/>
              <w:left w:val="single" w:sz="8" w:space="0" w:color="auto"/>
              <w:bottom w:val="single" w:sz="8" w:space="0" w:color="auto"/>
              <w:right w:val="single" w:sz="8" w:space="0" w:color="auto"/>
            </w:tcBorders>
            <w:shd w:val="clear" w:color="auto" w:fill="auto"/>
            <w:noWrap/>
            <w:vAlign w:val="bottom"/>
            <w:hideMark/>
          </w:tcPr>
          <w:p w:rsidR="0006119F" w:rsidRPr="00852A4A" w:rsidRDefault="0006119F" w:rsidP="00875402">
            <w:pPr>
              <w:rPr>
                <w:rFonts w:ascii="Cambria" w:hAnsi="Cambria"/>
                <w:b/>
                <w:bCs/>
                <w:color w:val="000000"/>
              </w:rPr>
            </w:pPr>
            <w:r w:rsidRPr="00852A4A">
              <w:rPr>
                <w:rFonts w:ascii="Cambria" w:hAnsi="Cambria"/>
                <w:b/>
                <w:bCs/>
                <w:color w:val="000000"/>
              </w:rPr>
              <w:t>Total</w:t>
            </w:r>
          </w:p>
        </w:tc>
        <w:tc>
          <w:tcPr>
            <w:tcW w:w="1360" w:type="dxa"/>
            <w:tcBorders>
              <w:top w:val="nil"/>
              <w:left w:val="nil"/>
              <w:bottom w:val="single" w:sz="8" w:space="0" w:color="auto"/>
              <w:right w:val="single" w:sz="8" w:space="0" w:color="auto"/>
            </w:tcBorders>
            <w:shd w:val="clear" w:color="auto" w:fill="auto"/>
            <w:vAlign w:val="center"/>
            <w:hideMark/>
          </w:tcPr>
          <w:p w:rsidR="0006119F" w:rsidRDefault="0006119F" w:rsidP="00F42E0C">
            <w:pPr>
              <w:jc w:val="center"/>
              <w:rPr>
                <w:rFonts w:ascii="Cambria" w:hAnsi="Cambria" w:cs="Arial"/>
                <w:b/>
                <w:bCs/>
                <w:color w:val="000000"/>
              </w:rPr>
            </w:pPr>
            <w:r>
              <w:rPr>
                <w:rFonts w:ascii="Cambria" w:hAnsi="Cambria" w:cs="Arial"/>
                <w:b/>
                <w:bCs/>
                <w:color w:val="000000"/>
              </w:rPr>
              <w:t>4234.961</w:t>
            </w:r>
          </w:p>
        </w:tc>
        <w:tc>
          <w:tcPr>
            <w:tcW w:w="1440" w:type="dxa"/>
            <w:tcBorders>
              <w:top w:val="nil"/>
              <w:left w:val="nil"/>
              <w:bottom w:val="single" w:sz="8" w:space="0" w:color="auto"/>
              <w:right w:val="single" w:sz="8" w:space="0" w:color="auto"/>
            </w:tcBorders>
            <w:shd w:val="clear" w:color="auto" w:fill="auto"/>
            <w:vAlign w:val="center"/>
            <w:hideMark/>
          </w:tcPr>
          <w:p w:rsidR="0006119F" w:rsidRDefault="0006119F" w:rsidP="00F42E0C">
            <w:pPr>
              <w:jc w:val="center"/>
              <w:rPr>
                <w:rFonts w:ascii="Cambria" w:hAnsi="Cambria" w:cs="Arial"/>
                <w:b/>
                <w:bCs/>
                <w:color w:val="000000"/>
              </w:rPr>
            </w:pPr>
            <w:r>
              <w:rPr>
                <w:rFonts w:ascii="Cambria" w:hAnsi="Cambria" w:cs="Arial"/>
                <w:b/>
                <w:bCs/>
                <w:color w:val="000000"/>
              </w:rPr>
              <w:t>4530.916</w:t>
            </w:r>
          </w:p>
        </w:tc>
        <w:tc>
          <w:tcPr>
            <w:tcW w:w="1440" w:type="dxa"/>
            <w:tcBorders>
              <w:top w:val="nil"/>
              <w:left w:val="nil"/>
              <w:bottom w:val="single" w:sz="8" w:space="0" w:color="auto"/>
              <w:right w:val="single" w:sz="8" w:space="0" w:color="auto"/>
            </w:tcBorders>
            <w:shd w:val="clear" w:color="auto" w:fill="auto"/>
            <w:vAlign w:val="center"/>
            <w:hideMark/>
          </w:tcPr>
          <w:p w:rsidR="0006119F" w:rsidRDefault="0006119F" w:rsidP="00F42E0C">
            <w:pPr>
              <w:jc w:val="center"/>
              <w:rPr>
                <w:rFonts w:ascii="Cambria" w:hAnsi="Cambria" w:cs="Arial"/>
                <w:b/>
                <w:bCs/>
                <w:color w:val="000000"/>
              </w:rPr>
            </w:pPr>
            <w:r>
              <w:rPr>
                <w:rFonts w:ascii="Cambria" w:hAnsi="Cambria" w:cs="Arial"/>
                <w:b/>
                <w:bCs/>
                <w:color w:val="000000"/>
              </w:rPr>
              <w:t>4927.478</w:t>
            </w:r>
          </w:p>
        </w:tc>
        <w:tc>
          <w:tcPr>
            <w:tcW w:w="1440" w:type="dxa"/>
            <w:tcBorders>
              <w:top w:val="nil"/>
              <w:left w:val="nil"/>
              <w:bottom w:val="single" w:sz="8" w:space="0" w:color="auto"/>
              <w:right w:val="single" w:sz="8" w:space="0" w:color="auto"/>
            </w:tcBorders>
            <w:shd w:val="clear" w:color="auto" w:fill="auto"/>
            <w:vAlign w:val="center"/>
            <w:hideMark/>
          </w:tcPr>
          <w:p w:rsidR="0006119F" w:rsidRDefault="0006119F">
            <w:pPr>
              <w:jc w:val="center"/>
              <w:rPr>
                <w:rFonts w:ascii="Cambria" w:hAnsi="Cambria" w:cs="Arial"/>
                <w:b/>
                <w:bCs/>
                <w:color w:val="000000"/>
              </w:rPr>
            </w:pPr>
            <w:r>
              <w:rPr>
                <w:rFonts w:ascii="Cambria" w:hAnsi="Cambria" w:cs="Arial"/>
                <w:b/>
                <w:bCs/>
                <w:color w:val="000000"/>
              </w:rPr>
              <w:t>5345.569</w:t>
            </w:r>
          </w:p>
        </w:tc>
      </w:tr>
    </w:tbl>
    <w:p w:rsidR="00274F68" w:rsidRDefault="00AA3F44" w:rsidP="00274F68">
      <w:pPr>
        <w:pStyle w:val="BodyText2"/>
        <w:spacing w:line="360" w:lineRule="auto"/>
        <w:jc w:val="both"/>
        <w:rPr>
          <w:rFonts w:ascii="Cambria" w:hAnsi="Cambria"/>
          <w:sz w:val="24"/>
          <w:szCs w:val="24"/>
        </w:rPr>
      </w:pPr>
      <w:r w:rsidRPr="0033579B">
        <w:rPr>
          <w:rFonts w:ascii="Cambria" w:hAnsi="Cambria"/>
          <w:sz w:val="24"/>
          <w:szCs w:val="24"/>
        </w:rPr>
        <w:t xml:space="preserve">In addition to above it is to submit that sale under Railway traction has been estimated as </w:t>
      </w:r>
      <w:r w:rsidR="0006119F">
        <w:rPr>
          <w:rFonts w:ascii="Cambria" w:hAnsi="Cambria"/>
          <w:sz w:val="24"/>
          <w:szCs w:val="24"/>
        </w:rPr>
        <w:t>413</w:t>
      </w:r>
      <w:r w:rsidR="00283969" w:rsidRPr="0033579B">
        <w:rPr>
          <w:rFonts w:ascii="Cambria" w:hAnsi="Cambria"/>
          <w:sz w:val="24"/>
          <w:szCs w:val="24"/>
        </w:rPr>
        <w:t>.</w:t>
      </w:r>
      <w:r w:rsidR="0006119F">
        <w:rPr>
          <w:rFonts w:ascii="Cambria" w:hAnsi="Cambria"/>
          <w:sz w:val="24"/>
          <w:szCs w:val="24"/>
        </w:rPr>
        <w:t>323</w:t>
      </w:r>
      <w:r w:rsidRPr="0033579B">
        <w:rPr>
          <w:rFonts w:ascii="Cambria" w:hAnsi="Cambria"/>
          <w:sz w:val="24"/>
          <w:szCs w:val="24"/>
        </w:rPr>
        <w:t xml:space="preserve"> MU for the ensuing year. </w:t>
      </w:r>
      <w:r w:rsidR="009C253B" w:rsidRPr="0033579B">
        <w:rPr>
          <w:rFonts w:ascii="Cambria" w:hAnsi="Cambria"/>
          <w:sz w:val="24"/>
          <w:szCs w:val="24"/>
        </w:rPr>
        <w:t xml:space="preserve">OPTCL has also filed an application with OERC vide case no.55 of 2016 regarding  grant of deemed distribution </w:t>
      </w:r>
      <w:r w:rsidR="00DA254E" w:rsidRPr="0033579B">
        <w:rPr>
          <w:rFonts w:ascii="Cambria" w:hAnsi="Cambria"/>
          <w:sz w:val="24"/>
          <w:szCs w:val="24"/>
        </w:rPr>
        <w:t xml:space="preserve">license </w:t>
      </w:r>
      <w:r w:rsidR="009C253B" w:rsidRPr="0033579B">
        <w:rPr>
          <w:rFonts w:ascii="Cambria" w:hAnsi="Cambria"/>
          <w:sz w:val="24"/>
          <w:szCs w:val="24"/>
        </w:rPr>
        <w:t xml:space="preserve">in favour of </w:t>
      </w:r>
      <w:r w:rsidRPr="0033579B">
        <w:rPr>
          <w:rFonts w:ascii="Cambria" w:hAnsi="Cambria"/>
          <w:sz w:val="24"/>
          <w:szCs w:val="24"/>
        </w:rPr>
        <w:t xml:space="preserve">M/S East Coast Railway </w:t>
      </w:r>
      <w:r w:rsidR="008B598F" w:rsidRPr="0033579B">
        <w:rPr>
          <w:rFonts w:ascii="Cambria" w:hAnsi="Cambria"/>
          <w:sz w:val="24"/>
          <w:szCs w:val="24"/>
        </w:rPr>
        <w:t xml:space="preserve">which </w:t>
      </w:r>
      <w:r w:rsidR="009C253B" w:rsidRPr="0033579B">
        <w:rPr>
          <w:rFonts w:ascii="Cambria" w:hAnsi="Cambria"/>
          <w:sz w:val="24"/>
          <w:szCs w:val="24"/>
        </w:rPr>
        <w:t xml:space="preserve">is yet to be disposed off. </w:t>
      </w:r>
      <w:r w:rsidR="009424A4" w:rsidRPr="0033579B">
        <w:rPr>
          <w:rFonts w:ascii="Cambria" w:hAnsi="Cambria"/>
          <w:sz w:val="24"/>
          <w:szCs w:val="24"/>
        </w:rPr>
        <w:t>However, the utility has projected estimated sale</w:t>
      </w:r>
      <w:r w:rsidR="008B598F" w:rsidRPr="0033579B">
        <w:rPr>
          <w:rFonts w:ascii="Cambria" w:hAnsi="Cambria"/>
          <w:sz w:val="24"/>
          <w:szCs w:val="24"/>
        </w:rPr>
        <w:t>s</w:t>
      </w:r>
      <w:r w:rsidR="009424A4" w:rsidRPr="0033579B">
        <w:rPr>
          <w:rFonts w:ascii="Cambria" w:hAnsi="Cambria"/>
          <w:sz w:val="24"/>
          <w:szCs w:val="24"/>
        </w:rPr>
        <w:t xml:space="preserve"> considering Railway as normal consumer of the licensee.</w:t>
      </w:r>
      <w:r>
        <w:rPr>
          <w:rFonts w:ascii="Cambria" w:hAnsi="Cambria"/>
          <w:sz w:val="24"/>
          <w:szCs w:val="24"/>
        </w:rPr>
        <w:t xml:space="preserve"> </w:t>
      </w: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4" w:name="_Toc25850909"/>
      <w:r w:rsidRPr="00BF0E9D">
        <w:rPr>
          <w:rFonts w:ascii="Cambria" w:hAnsi="Cambria"/>
          <w:sz w:val="24"/>
          <w:szCs w:val="24"/>
        </w:rPr>
        <w:t>Power Purchase Expenses</w:t>
      </w:r>
      <w:bookmarkEnd w:id="4"/>
    </w:p>
    <w:p w:rsidR="004276A0" w:rsidRPr="00BF0E9D" w:rsidRDefault="004276A0" w:rsidP="004276A0">
      <w:pPr>
        <w:pStyle w:val="BodyText2"/>
        <w:spacing w:line="360" w:lineRule="auto"/>
        <w:jc w:val="both"/>
        <w:rPr>
          <w:rFonts w:ascii="Cambria" w:hAnsi="Cambria" w:cs="Arial"/>
          <w:color w:val="FF0000"/>
          <w:sz w:val="24"/>
          <w:szCs w:val="24"/>
          <w:lang w:val="en-GB"/>
        </w:rPr>
      </w:pPr>
      <w:r w:rsidRPr="00BF0E9D">
        <w:rPr>
          <w:rFonts w:ascii="Cambria" w:hAnsi="Cambria" w:cs="Arial"/>
          <w:sz w:val="24"/>
          <w:szCs w:val="24"/>
          <w:lang w:val="en-GB"/>
        </w:rPr>
        <w:t xml:space="preserve">The power purchase expenses have been derived </w:t>
      </w:r>
      <w:r w:rsidR="00DF557C">
        <w:rPr>
          <w:rFonts w:ascii="Cambria" w:hAnsi="Cambria" w:cs="Arial"/>
          <w:sz w:val="24"/>
          <w:szCs w:val="24"/>
          <w:lang w:val="en-GB"/>
        </w:rPr>
        <w:t xml:space="preserve">from the </w:t>
      </w:r>
      <w:r w:rsidRPr="00BF0E9D">
        <w:rPr>
          <w:rFonts w:ascii="Cambria" w:hAnsi="Cambria" w:cs="Arial"/>
          <w:sz w:val="24"/>
          <w:szCs w:val="24"/>
          <w:lang w:val="en-GB"/>
        </w:rPr>
        <w:t>sales estimates and the distribution loss level. For the year FY 20</w:t>
      </w:r>
      <w:r w:rsidR="0006119F">
        <w:rPr>
          <w:rFonts w:ascii="Cambria" w:hAnsi="Cambria" w:cs="Arial"/>
          <w:sz w:val="24"/>
          <w:szCs w:val="24"/>
          <w:lang w:val="en-GB"/>
        </w:rPr>
        <w:t>20</w:t>
      </w:r>
      <w:r w:rsidR="008F0724">
        <w:rPr>
          <w:rFonts w:ascii="Cambria" w:hAnsi="Cambria" w:cs="Arial"/>
          <w:sz w:val="24"/>
          <w:szCs w:val="24"/>
          <w:lang w:val="en-GB"/>
        </w:rPr>
        <w:t>-2</w:t>
      </w:r>
      <w:r w:rsidR="0006119F">
        <w:rPr>
          <w:rFonts w:ascii="Cambria" w:hAnsi="Cambria" w:cs="Arial"/>
          <w:sz w:val="24"/>
          <w:szCs w:val="24"/>
          <w:lang w:val="en-GB"/>
        </w:rPr>
        <w:t>1</w:t>
      </w:r>
      <w:r w:rsidRPr="00BF0E9D">
        <w:rPr>
          <w:rFonts w:ascii="Cambria" w:hAnsi="Cambria" w:cs="Arial"/>
          <w:sz w:val="24"/>
          <w:szCs w:val="24"/>
          <w:lang w:val="en-GB"/>
        </w:rPr>
        <w:t xml:space="preserve">, energy input of </w:t>
      </w:r>
      <w:r w:rsidR="00020F7D">
        <w:rPr>
          <w:rFonts w:ascii="Cambria" w:hAnsi="Cambria" w:cs="Arial"/>
          <w:sz w:val="24"/>
          <w:szCs w:val="24"/>
          <w:lang w:val="en-GB"/>
        </w:rPr>
        <w:t>6</w:t>
      </w:r>
      <w:r w:rsidR="0006119F">
        <w:rPr>
          <w:rFonts w:ascii="Cambria" w:hAnsi="Cambria" w:cs="Arial"/>
          <w:sz w:val="24"/>
          <w:szCs w:val="24"/>
          <w:lang w:val="en-GB"/>
        </w:rPr>
        <w:t>567.039</w:t>
      </w:r>
      <w:r w:rsidR="00834B61">
        <w:rPr>
          <w:rFonts w:ascii="Cambria" w:hAnsi="Cambria" w:cs="Arial"/>
          <w:sz w:val="24"/>
          <w:szCs w:val="24"/>
          <w:lang w:val="en-GB"/>
        </w:rPr>
        <w:t xml:space="preserve"> </w:t>
      </w:r>
      <w:r w:rsidRPr="00BF0E9D">
        <w:rPr>
          <w:rFonts w:ascii="Cambria" w:hAnsi="Cambria" w:cs="Arial"/>
          <w:sz w:val="24"/>
          <w:szCs w:val="24"/>
          <w:lang w:val="en-GB"/>
        </w:rPr>
        <w:t>MU has been estimated based on the estimated sale of</w:t>
      </w:r>
      <w:r w:rsidR="00292CDD">
        <w:rPr>
          <w:rFonts w:ascii="Cambria" w:hAnsi="Cambria" w:cs="Arial"/>
          <w:sz w:val="24"/>
          <w:szCs w:val="24"/>
          <w:lang w:val="en-GB"/>
        </w:rPr>
        <w:t xml:space="preserve"> </w:t>
      </w:r>
      <w:r w:rsidR="00020F7D">
        <w:rPr>
          <w:rFonts w:ascii="Cambria" w:hAnsi="Cambria" w:cs="Arial"/>
          <w:sz w:val="24"/>
          <w:szCs w:val="24"/>
          <w:lang w:val="en-GB"/>
        </w:rPr>
        <w:t>5</w:t>
      </w:r>
      <w:r w:rsidR="0006119F">
        <w:rPr>
          <w:rFonts w:ascii="Cambria" w:hAnsi="Cambria" w:cs="Arial"/>
          <w:sz w:val="24"/>
          <w:szCs w:val="24"/>
          <w:lang w:val="en-GB"/>
        </w:rPr>
        <w:t>345.569</w:t>
      </w:r>
      <w:r w:rsidR="00292CDD">
        <w:rPr>
          <w:rFonts w:ascii="Cambria" w:hAnsi="Cambria" w:cs="Arial"/>
          <w:sz w:val="24"/>
          <w:szCs w:val="24"/>
          <w:lang w:val="en-GB"/>
        </w:rPr>
        <w:t xml:space="preserve"> </w:t>
      </w:r>
      <w:r w:rsidRPr="00BF0E9D">
        <w:rPr>
          <w:rFonts w:ascii="Cambria" w:hAnsi="Cambria" w:cs="Arial"/>
          <w:sz w:val="24"/>
          <w:szCs w:val="24"/>
          <w:lang w:val="en-GB"/>
        </w:rPr>
        <w:t>MU and Distribution Loss of</w:t>
      </w:r>
      <w:r w:rsidR="00292CDD">
        <w:rPr>
          <w:rFonts w:ascii="Cambria" w:hAnsi="Cambria" w:cs="Arial"/>
          <w:sz w:val="24"/>
          <w:szCs w:val="24"/>
          <w:lang w:val="en-GB"/>
        </w:rPr>
        <w:t xml:space="preserve"> </w:t>
      </w:r>
      <w:r w:rsidR="00020F7D">
        <w:rPr>
          <w:rFonts w:ascii="Cambria" w:hAnsi="Cambria" w:cs="Arial"/>
          <w:sz w:val="24"/>
          <w:szCs w:val="24"/>
          <w:lang w:val="en-GB"/>
        </w:rPr>
        <w:t>1</w:t>
      </w:r>
      <w:r w:rsidR="0006119F">
        <w:rPr>
          <w:rFonts w:ascii="Cambria" w:hAnsi="Cambria" w:cs="Arial"/>
          <w:sz w:val="24"/>
          <w:szCs w:val="24"/>
          <w:lang w:val="en-GB"/>
        </w:rPr>
        <w:t>8.60</w:t>
      </w:r>
      <w:r w:rsidRPr="00BF0E9D">
        <w:rPr>
          <w:rFonts w:ascii="Cambria" w:hAnsi="Cambria" w:cs="Arial"/>
          <w:sz w:val="24"/>
          <w:szCs w:val="24"/>
          <w:lang w:val="en-GB"/>
        </w:rPr>
        <w:t>%.</w:t>
      </w:r>
    </w:p>
    <w:p w:rsidR="00DF557C"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Power purchase cost for the current year is Rs.</w:t>
      </w:r>
      <w:r w:rsidR="00524BA4">
        <w:rPr>
          <w:rFonts w:ascii="Cambria" w:hAnsi="Cambria" w:cs="Arial"/>
          <w:sz w:val="24"/>
          <w:szCs w:val="24"/>
          <w:lang w:val="en-GB"/>
        </w:rPr>
        <w:t>19</w:t>
      </w:r>
      <w:r w:rsidR="0006119F">
        <w:rPr>
          <w:rFonts w:ascii="Cambria" w:hAnsi="Cambria" w:cs="Arial"/>
          <w:sz w:val="24"/>
          <w:szCs w:val="24"/>
          <w:lang w:val="en-GB"/>
        </w:rPr>
        <w:t>58</w:t>
      </w:r>
      <w:r w:rsidR="00524BA4">
        <w:rPr>
          <w:rFonts w:ascii="Cambria" w:hAnsi="Cambria" w:cs="Arial"/>
          <w:sz w:val="24"/>
          <w:szCs w:val="24"/>
          <w:lang w:val="en-GB"/>
        </w:rPr>
        <w:t>.</w:t>
      </w:r>
      <w:r w:rsidR="0006119F">
        <w:rPr>
          <w:rFonts w:ascii="Cambria" w:hAnsi="Cambria" w:cs="Arial"/>
          <w:sz w:val="24"/>
          <w:szCs w:val="24"/>
          <w:lang w:val="en-GB"/>
        </w:rPr>
        <w:t>63</w:t>
      </w:r>
      <w:r w:rsidRPr="00BF0E9D">
        <w:rPr>
          <w:rFonts w:ascii="Cambria" w:hAnsi="Cambria" w:cs="Arial"/>
          <w:sz w:val="24"/>
          <w:szCs w:val="24"/>
          <w:lang w:val="en-GB"/>
        </w:rPr>
        <w:t xml:space="preserve"> Crs </w:t>
      </w:r>
      <w:r w:rsidR="00DA254E">
        <w:rPr>
          <w:rFonts w:ascii="Cambria" w:hAnsi="Cambria" w:cs="Arial"/>
          <w:sz w:val="24"/>
          <w:szCs w:val="24"/>
          <w:lang w:val="en-GB"/>
        </w:rPr>
        <w:t xml:space="preserve"> </w:t>
      </w:r>
      <w:r w:rsidRPr="00BF0E9D">
        <w:rPr>
          <w:rFonts w:ascii="Cambria" w:hAnsi="Cambria" w:cs="Arial"/>
          <w:sz w:val="24"/>
          <w:szCs w:val="24"/>
          <w:lang w:val="en-GB"/>
        </w:rPr>
        <w:t>and for the FY 20</w:t>
      </w:r>
      <w:r w:rsidR="0006119F">
        <w:rPr>
          <w:rFonts w:ascii="Cambria" w:hAnsi="Cambria" w:cs="Arial"/>
          <w:sz w:val="24"/>
          <w:szCs w:val="24"/>
          <w:lang w:val="en-GB"/>
        </w:rPr>
        <w:t>20</w:t>
      </w:r>
      <w:r w:rsidR="00524BA4">
        <w:rPr>
          <w:rFonts w:ascii="Cambria" w:hAnsi="Cambria" w:cs="Arial"/>
          <w:sz w:val="24"/>
          <w:szCs w:val="24"/>
          <w:lang w:val="en-GB"/>
        </w:rPr>
        <w:t>-2</w:t>
      </w:r>
      <w:r w:rsidR="0006119F">
        <w:rPr>
          <w:rFonts w:ascii="Cambria" w:hAnsi="Cambria" w:cs="Arial"/>
          <w:sz w:val="24"/>
          <w:szCs w:val="24"/>
          <w:lang w:val="en-GB"/>
        </w:rPr>
        <w:t>1</w:t>
      </w:r>
      <w:r w:rsidRPr="00BF0E9D">
        <w:rPr>
          <w:rFonts w:ascii="Cambria" w:hAnsi="Cambria" w:cs="Arial"/>
          <w:sz w:val="24"/>
          <w:szCs w:val="24"/>
          <w:lang w:val="en-GB"/>
        </w:rPr>
        <w:t xml:space="preserve"> power purchase cost has been estimated at Rs. </w:t>
      </w:r>
      <w:r w:rsidR="00104DC5">
        <w:rPr>
          <w:rFonts w:ascii="Cambria" w:hAnsi="Cambria" w:cs="Arial"/>
          <w:sz w:val="24"/>
          <w:szCs w:val="24"/>
          <w:lang w:val="en-GB"/>
        </w:rPr>
        <w:t>2</w:t>
      </w:r>
      <w:r w:rsidR="0006119F">
        <w:rPr>
          <w:rFonts w:ascii="Cambria" w:hAnsi="Cambria" w:cs="Arial"/>
          <w:sz w:val="24"/>
          <w:szCs w:val="24"/>
          <w:lang w:val="en-GB"/>
        </w:rPr>
        <w:t>122</w:t>
      </w:r>
      <w:r w:rsidR="00524BA4">
        <w:rPr>
          <w:rFonts w:ascii="Cambria" w:hAnsi="Cambria" w:cs="Arial"/>
          <w:sz w:val="24"/>
          <w:szCs w:val="24"/>
          <w:lang w:val="en-GB"/>
        </w:rPr>
        <w:t>.</w:t>
      </w:r>
      <w:r w:rsidR="0006119F">
        <w:rPr>
          <w:rFonts w:ascii="Cambria" w:hAnsi="Cambria" w:cs="Arial"/>
          <w:sz w:val="24"/>
          <w:szCs w:val="24"/>
          <w:lang w:val="en-GB"/>
        </w:rPr>
        <w:t>1</w:t>
      </w:r>
      <w:r w:rsidR="00524BA4">
        <w:rPr>
          <w:rFonts w:ascii="Cambria" w:hAnsi="Cambria" w:cs="Arial"/>
          <w:sz w:val="24"/>
          <w:szCs w:val="24"/>
          <w:lang w:val="en-GB"/>
        </w:rPr>
        <w:t>3</w:t>
      </w:r>
      <w:r w:rsidR="00402407">
        <w:rPr>
          <w:rFonts w:ascii="Cambria" w:hAnsi="Cambria" w:cs="Arial"/>
          <w:sz w:val="24"/>
          <w:szCs w:val="24"/>
          <w:lang w:val="en-GB"/>
        </w:rPr>
        <w:t xml:space="preserve"> </w:t>
      </w:r>
      <w:r w:rsidRPr="00BF0E9D">
        <w:rPr>
          <w:rFonts w:ascii="Cambria" w:hAnsi="Cambria" w:cs="Arial"/>
          <w:sz w:val="24"/>
          <w:szCs w:val="24"/>
          <w:lang w:val="en-GB"/>
        </w:rPr>
        <w:t>Crores</w:t>
      </w:r>
      <w:r w:rsidR="00DA254E">
        <w:rPr>
          <w:rFonts w:ascii="Cambria" w:hAnsi="Cambria" w:cs="Arial"/>
          <w:sz w:val="24"/>
          <w:szCs w:val="24"/>
          <w:lang w:val="en-GB"/>
        </w:rPr>
        <w:t xml:space="preserve"> </w:t>
      </w:r>
      <w:r w:rsidRPr="00BF0E9D">
        <w:rPr>
          <w:rFonts w:ascii="Cambria" w:hAnsi="Cambria" w:cs="Arial"/>
          <w:sz w:val="24"/>
          <w:szCs w:val="24"/>
          <w:lang w:val="en-GB"/>
        </w:rPr>
        <w:t xml:space="preserve">with BSP @ </w:t>
      </w:r>
      <w:r w:rsidR="0006119F">
        <w:rPr>
          <w:rFonts w:ascii="Cambria" w:hAnsi="Cambria" w:cs="Arial"/>
          <w:sz w:val="24"/>
          <w:szCs w:val="24"/>
          <w:lang w:val="en-GB"/>
        </w:rPr>
        <w:t>298</w:t>
      </w:r>
      <w:r w:rsidRPr="00BF0E9D">
        <w:rPr>
          <w:rFonts w:ascii="Cambria" w:hAnsi="Cambria" w:cs="Arial"/>
          <w:sz w:val="24"/>
          <w:szCs w:val="24"/>
          <w:lang w:val="en-GB"/>
        </w:rPr>
        <w:t xml:space="preserve"> paise p.u. and transmission charges @ 25 </w:t>
      </w:r>
      <w:r w:rsidR="00104DC5">
        <w:rPr>
          <w:rFonts w:ascii="Cambria" w:hAnsi="Cambria" w:cs="Arial"/>
          <w:sz w:val="24"/>
          <w:szCs w:val="24"/>
          <w:lang w:val="en-GB"/>
        </w:rPr>
        <w:t xml:space="preserve">paise p.u. SLDC charges @ Rs </w:t>
      </w:r>
      <w:r w:rsidR="00524BA4">
        <w:rPr>
          <w:rFonts w:ascii="Cambria" w:hAnsi="Cambria" w:cs="Arial"/>
          <w:sz w:val="24"/>
          <w:szCs w:val="24"/>
          <w:lang w:val="en-GB"/>
        </w:rPr>
        <w:t>8.</w:t>
      </w:r>
      <w:r w:rsidR="0006119F">
        <w:rPr>
          <w:rFonts w:ascii="Cambria" w:hAnsi="Cambria" w:cs="Arial"/>
          <w:sz w:val="24"/>
          <w:szCs w:val="24"/>
          <w:lang w:val="en-GB"/>
        </w:rPr>
        <w:t>15</w:t>
      </w:r>
      <w:r w:rsidRPr="00BF0E9D">
        <w:rPr>
          <w:rFonts w:ascii="Cambria" w:hAnsi="Cambria" w:cs="Arial"/>
          <w:sz w:val="24"/>
          <w:szCs w:val="24"/>
          <w:lang w:val="en-GB"/>
        </w:rPr>
        <w:t xml:space="preserve"> lakhs per month</w:t>
      </w:r>
      <w:r w:rsidR="00EB502E">
        <w:rPr>
          <w:rFonts w:ascii="Cambria" w:hAnsi="Cambria" w:cs="Arial"/>
          <w:sz w:val="24"/>
          <w:szCs w:val="24"/>
          <w:lang w:val="en-GB"/>
        </w:rPr>
        <w:t>.</w:t>
      </w:r>
      <w:r w:rsidRPr="00BF0E9D">
        <w:rPr>
          <w:rFonts w:ascii="Cambria" w:hAnsi="Cambria" w:cs="Arial"/>
          <w:sz w:val="24"/>
          <w:szCs w:val="24"/>
          <w:lang w:val="en-GB"/>
        </w:rPr>
        <w:t xml:space="preserve"> </w:t>
      </w:r>
      <w:r w:rsidR="00DF557C">
        <w:rPr>
          <w:rFonts w:ascii="Cambria" w:hAnsi="Cambria" w:cs="Arial"/>
          <w:sz w:val="24"/>
          <w:szCs w:val="24"/>
          <w:lang w:val="en-GB"/>
        </w:rPr>
        <w:t xml:space="preserve">However, </w:t>
      </w:r>
      <w:r w:rsidR="00DF557C">
        <w:rPr>
          <w:rFonts w:ascii="Cambria" w:hAnsi="Cambria" w:cs="Arial"/>
          <w:sz w:val="24"/>
          <w:szCs w:val="24"/>
          <w:lang w:val="en-GB"/>
        </w:rPr>
        <w:lastRenderedPageBreak/>
        <w:t xml:space="preserve">the </w:t>
      </w:r>
      <w:r w:rsidR="006C38E9">
        <w:rPr>
          <w:rFonts w:ascii="Cambria" w:hAnsi="Cambria" w:cs="Arial"/>
          <w:sz w:val="24"/>
          <w:szCs w:val="24"/>
          <w:lang w:val="en-GB"/>
        </w:rPr>
        <w:t>Utility</w:t>
      </w:r>
      <w:r w:rsidR="00DF557C">
        <w:rPr>
          <w:rFonts w:ascii="Cambria" w:hAnsi="Cambria" w:cs="Arial"/>
          <w:sz w:val="24"/>
          <w:szCs w:val="24"/>
          <w:lang w:val="en-GB"/>
        </w:rPr>
        <w:t xml:space="preserve"> has </w:t>
      </w:r>
      <w:r w:rsidR="001D7D2F">
        <w:rPr>
          <w:rFonts w:ascii="Cambria" w:hAnsi="Cambria" w:cs="Arial"/>
          <w:sz w:val="24"/>
          <w:szCs w:val="24"/>
          <w:lang w:val="en-GB"/>
        </w:rPr>
        <w:t xml:space="preserve">not </w:t>
      </w:r>
      <w:r w:rsidR="00DF557C">
        <w:rPr>
          <w:rFonts w:ascii="Cambria" w:hAnsi="Cambria" w:cs="Arial"/>
          <w:sz w:val="24"/>
          <w:szCs w:val="24"/>
          <w:lang w:val="en-GB"/>
        </w:rPr>
        <w:t xml:space="preserve">considered the </w:t>
      </w:r>
      <w:r w:rsidR="001D7D2F">
        <w:rPr>
          <w:rFonts w:ascii="Cambria" w:hAnsi="Cambria" w:cs="Arial"/>
          <w:sz w:val="24"/>
          <w:szCs w:val="24"/>
          <w:lang w:val="en-GB"/>
        </w:rPr>
        <w:t xml:space="preserve">effect of UI/ deviation charges </w:t>
      </w:r>
      <w:r w:rsidR="00663A8F">
        <w:rPr>
          <w:rFonts w:ascii="Cambria" w:hAnsi="Cambria" w:cs="Arial"/>
          <w:sz w:val="24"/>
          <w:szCs w:val="24"/>
          <w:lang w:val="en-GB"/>
        </w:rPr>
        <w:t>towards</w:t>
      </w:r>
      <w:r w:rsidR="00DF557C">
        <w:rPr>
          <w:rFonts w:ascii="Cambria" w:hAnsi="Cambria" w:cs="Arial"/>
          <w:sz w:val="24"/>
          <w:szCs w:val="24"/>
          <w:lang w:val="en-GB"/>
        </w:rPr>
        <w:t xml:space="preserve"> estimating power </w:t>
      </w:r>
      <w:r w:rsidR="00C34399">
        <w:rPr>
          <w:rFonts w:ascii="Cambria" w:hAnsi="Cambria" w:cs="Arial"/>
          <w:sz w:val="24"/>
          <w:szCs w:val="24"/>
          <w:lang w:val="en-GB"/>
        </w:rPr>
        <w:t xml:space="preserve">purchase </w:t>
      </w:r>
      <w:r w:rsidR="00DF557C">
        <w:rPr>
          <w:rFonts w:ascii="Cambria" w:hAnsi="Cambria" w:cs="Arial"/>
          <w:sz w:val="24"/>
          <w:szCs w:val="24"/>
          <w:lang w:val="en-GB"/>
        </w:rPr>
        <w:t>cost</w:t>
      </w:r>
      <w:r w:rsidR="001D7D2F">
        <w:rPr>
          <w:rFonts w:ascii="Cambria" w:hAnsi="Cambria" w:cs="Arial"/>
          <w:sz w:val="24"/>
          <w:szCs w:val="24"/>
          <w:lang w:val="en-GB"/>
        </w:rPr>
        <w:t xml:space="preserve"> for FY 20</w:t>
      </w:r>
      <w:r w:rsidR="0006119F">
        <w:rPr>
          <w:rFonts w:ascii="Cambria" w:hAnsi="Cambria" w:cs="Arial"/>
          <w:sz w:val="24"/>
          <w:szCs w:val="24"/>
          <w:lang w:val="en-GB"/>
        </w:rPr>
        <w:t>20</w:t>
      </w:r>
      <w:r w:rsidR="00524BA4">
        <w:rPr>
          <w:rFonts w:ascii="Cambria" w:hAnsi="Cambria" w:cs="Arial"/>
          <w:sz w:val="24"/>
          <w:szCs w:val="24"/>
          <w:lang w:val="en-GB"/>
        </w:rPr>
        <w:t>-2</w:t>
      </w:r>
      <w:r w:rsidR="0006119F">
        <w:rPr>
          <w:rFonts w:ascii="Cambria" w:hAnsi="Cambria" w:cs="Arial"/>
          <w:sz w:val="24"/>
          <w:szCs w:val="24"/>
          <w:lang w:val="en-GB"/>
        </w:rPr>
        <w:t>1</w:t>
      </w:r>
      <w:r w:rsidR="00DF557C">
        <w:rPr>
          <w:rFonts w:ascii="Cambria" w:hAnsi="Cambria" w:cs="Arial"/>
          <w:sz w:val="24"/>
          <w:szCs w:val="24"/>
          <w:lang w:val="en-GB"/>
        </w:rPr>
        <w:t xml:space="preserve">. </w:t>
      </w:r>
    </w:p>
    <w:p w:rsidR="00DF557C" w:rsidRPr="00DF557C" w:rsidRDefault="00DF557C" w:rsidP="004276A0">
      <w:pPr>
        <w:pStyle w:val="BodyText2"/>
        <w:spacing w:line="360" w:lineRule="auto"/>
        <w:jc w:val="both"/>
        <w:rPr>
          <w:rFonts w:ascii="Cambria" w:hAnsi="Cambria" w:cs="Arial"/>
          <w:b/>
          <w:bCs/>
          <w:sz w:val="24"/>
          <w:szCs w:val="24"/>
          <w:u w:val="single"/>
          <w:lang w:val="en-GB"/>
        </w:rPr>
      </w:pPr>
      <w:r w:rsidRPr="00DF557C">
        <w:rPr>
          <w:rFonts w:ascii="Cambria" w:hAnsi="Cambria" w:cs="Arial"/>
          <w:b/>
          <w:bCs/>
          <w:sz w:val="24"/>
          <w:szCs w:val="24"/>
          <w:u w:val="single"/>
          <w:lang w:val="en-GB"/>
        </w:rPr>
        <w:t>SMD Projection</w:t>
      </w:r>
    </w:p>
    <w:p w:rsidR="004276A0" w:rsidRPr="00BF0E9D" w:rsidRDefault="00DF557C" w:rsidP="004276A0">
      <w:pPr>
        <w:pStyle w:val="BodyText2"/>
        <w:spacing w:line="360" w:lineRule="auto"/>
        <w:jc w:val="both"/>
        <w:rPr>
          <w:rFonts w:ascii="Cambria" w:hAnsi="Cambria" w:cs="Arial"/>
          <w:color w:val="FF0000"/>
          <w:sz w:val="24"/>
          <w:szCs w:val="24"/>
          <w:lang w:val="en-GB"/>
        </w:rPr>
      </w:pPr>
      <w:r>
        <w:rPr>
          <w:rFonts w:ascii="Cambria" w:hAnsi="Cambria" w:cs="Arial"/>
          <w:sz w:val="24"/>
          <w:szCs w:val="24"/>
          <w:lang w:val="en-GB"/>
        </w:rPr>
        <w:t>C</w:t>
      </w:r>
      <w:r w:rsidR="004276A0" w:rsidRPr="00BF0E9D">
        <w:rPr>
          <w:rFonts w:ascii="Cambria" w:hAnsi="Cambria" w:cs="Arial"/>
          <w:sz w:val="24"/>
          <w:szCs w:val="24"/>
          <w:lang w:val="en-GB"/>
        </w:rPr>
        <w:t xml:space="preserve">onsidering the </w:t>
      </w:r>
      <w:r>
        <w:rPr>
          <w:rFonts w:ascii="Cambria" w:hAnsi="Cambria" w:cs="Arial"/>
          <w:sz w:val="24"/>
          <w:szCs w:val="24"/>
          <w:lang w:val="en-GB"/>
        </w:rPr>
        <w:t>past record</w:t>
      </w:r>
      <w:r w:rsidRPr="00BF0E9D">
        <w:rPr>
          <w:rFonts w:ascii="Cambria" w:hAnsi="Cambria" w:cs="Arial"/>
          <w:sz w:val="24"/>
          <w:szCs w:val="24"/>
          <w:lang w:val="en-GB"/>
        </w:rPr>
        <w:t xml:space="preserve"> </w:t>
      </w:r>
      <w:r w:rsidR="004276A0" w:rsidRPr="00BF0E9D">
        <w:rPr>
          <w:rFonts w:ascii="Cambria" w:hAnsi="Cambria" w:cs="Arial"/>
          <w:sz w:val="24"/>
          <w:szCs w:val="24"/>
          <w:lang w:val="en-GB"/>
        </w:rPr>
        <w:t xml:space="preserve">and additional load towards inclusion of BPL and APL consumer under </w:t>
      </w:r>
      <w:r w:rsidR="00DA254E">
        <w:rPr>
          <w:rFonts w:ascii="Cambria" w:hAnsi="Cambria" w:cs="Arial"/>
          <w:sz w:val="24"/>
          <w:szCs w:val="24"/>
          <w:lang w:val="en-GB"/>
        </w:rPr>
        <w:t xml:space="preserve">SAUBHAGYA, </w:t>
      </w:r>
      <w:r w:rsidR="00C8409D">
        <w:rPr>
          <w:rFonts w:ascii="Cambria" w:hAnsi="Cambria" w:cs="Arial"/>
          <w:sz w:val="24"/>
          <w:szCs w:val="24"/>
          <w:lang w:val="en-GB"/>
        </w:rPr>
        <w:t xml:space="preserve">RGGVY, </w:t>
      </w:r>
      <w:r w:rsidR="004276A0" w:rsidRPr="00BF0E9D">
        <w:rPr>
          <w:rFonts w:ascii="Cambria" w:hAnsi="Cambria" w:cs="Arial"/>
          <w:sz w:val="24"/>
          <w:szCs w:val="24"/>
          <w:lang w:val="en-GB"/>
        </w:rPr>
        <w:t>BGJY</w:t>
      </w:r>
      <w:r w:rsidR="00C8409D">
        <w:rPr>
          <w:rFonts w:ascii="Cambria" w:hAnsi="Cambria" w:cs="Arial"/>
          <w:sz w:val="24"/>
          <w:szCs w:val="24"/>
          <w:lang w:val="en-GB"/>
        </w:rPr>
        <w:t xml:space="preserve"> and additional load towards upcoming EHT consumers</w:t>
      </w:r>
      <w:r w:rsidR="004276A0" w:rsidRPr="00BF0E9D">
        <w:rPr>
          <w:rFonts w:ascii="Cambria" w:hAnsi="Cambria" w:cs="Arial"/>
          <w:sz w:val="24"/>
          <w:szCs w:val="24"/>
          <w:lang w:val="en-GB"/>
        </w:rPr>
        <w:t xml:space="preserve">, the </w:t>
      </w:r>
      <w:r w:rsidR="006C38E9">
        <w:rPr>
          <w:rFonts w:ascii="Cambria" w:hAnsi="Cambria" w:cs="Arial"/>
          <w:sz w:val="24"/>
          <w:szCs w:val="24"/>
          <w:lang w:val="en-GB"/>
        </w:rPr>
        <w:t>Utility</w:t>
      </w:r>
      <w:r w:rsidR="004276A0" w:rsidRPr="00BF0E9D">
        <w:rPr>
          <w:rFonts w:ascii="Cambria" w:hAnsi="Cambria" w:cs="Arial"/>
          <w:sz w:val="24"/>
          <w:szCs w:val="24"/>
          <w:lang w:val="en-GB"/>
        </w:rPr>
        <w:t xml:space="preserve"> proposes </w:t>
      </w:r>
      <w:r w:rsidR="00C8409D">
        <w:rPr>
          <w:rFonts w:ascii="Cambria" w:hAnsi="Cambria" w:cs="Arial"/>
          <w:sz w:val="24"/>
          <w:szCs w:val="24"/>
          <w:lang w:val="en-GB"/>
        </w:rPr>
        <w:t>1</w:t>
      </w:r>
      <w:r w:rsidR="0006119F">
        <w:rPr>
          <w:rFonts w:ascii="Cambria" w:hAnsi="Cambria" w:cs="Arial"/>
          <w:sz w:val="24"/>
          <w:szCs w:val="24"/>
          <w:lang w:val="en-GB"/>
        </w:rPr>
        <w:t>150</w:t>
      </w:r>
      <w:r w:rsidR="00020F7D">
        <w:rPr>
          <w:rFonts w:ascii="Cambria" w:hAnsi="Cambria" w:cs="Arial"/>
          <w:sz w:val="24"/>
          <w:szCs w:val="24"/>
          <w:lang w:val="en-GB"/>
        </w:rPr>
        <w:t xml:space="preserve"> </w:t>
      </w:r>
      <w:r w:rsidRPr="001D7D2F">
        <w:rPr>
          <w:rFonts w:ascii="Cambria" w:hAnsi="Cambria" w:cs="Arial"/>
          <w:sz w:val="24"/>
          <w:szCs w:val="24"/>
          <w:lang w:val="en-GB"/>
        </w:rPr>
        <w:t>MVA</w:t>
      </w:r>
      <w:r w:rsidR="008129D4">
        <w:rPr>
          <w:rFonts w:ascii="Cambria" w:hAnsi="Cambria" w:cs="Arial"/>
          <w:sz w:val="24"/>
          <w:szCs w:val="24"/>
          <w:lang w:val="en-GB"/>
        </w:rPr>
        <w:t xml:space="preserve"> </w:t>
      </w:r>
      <w:r w:rsidR="004276A0" w:rsidRPr="00BF0E9D">
        <w:rPr>
          <w:rFonts w:ascii="Cambria" w:hAnsi="Cambria" w:cs="Arial"/>
          <w:sz w:val="24"/>
          <w:szCs w:val="24"/>
          <w:lang w:val="en-GB"/>
        </w:rPr>
        <w:t>a</w:t>
      </w:r>
      <w:r w:rsidR="00EB502E">
        <w:rPr>
          <w:rFonts w:ascii="Cambria" w:hAnsi="Cambria" w:cs="Arial"/>
          <w:sz w:val="24"/>
          <w:szCs w:val="24"/>
          <w:lang w:val="en-GB"/>
        </w:rPr>
        <w:t>s</w:t>
      </w:r>
      <w:r w:rsidR="004276A0" w:rsidRPr="00BF0E9D">
        <w:rPr>
          <w:rFonts w:ascii="Cambria" w:hAnsi="Cambria" w:cs="Arial"/>
          <w:sz w:val="24"/>
          <w:szCs w:val="24"/>
          <w:lang w:val="en-GB"/>
        </w:rPr>
        <w:t xml:space="preserve"> SMD for FY 20</w:t>
      </w:r>
      <w:r w:rsidR="0006119F">
        <w:rPr>
          <w:rFonts w:ascii="Cambria" w:hAnsi="Cambria" w:cs="Arial"/>
          <w:sz w:val="24"/>
          <w:szCs w:val="24"/>
          <w:lang w:val="en-GB"/>
        </w:rPr>
        <w:t>20</w:t>
      </w:r>
      <w:r w:rsidR="004276A0" w:rsidRPr="00BF0E9D">
        <w:rPr>
          <w:rFonts w:ascii="Cambria" w:hAnsi="Cambria" w:cs="Arial"/>
          <w:sz w:val="24"/>
          <w:szCs w:val="24"/>
          <w:lang w:val="en-GB"/>
        </w:rPr>
        <w:t>-</w:t>
      </w:r>
      <w:r w:rsidR="00524BA4">
        <w:rPr>
          <w:rFonts w:ascii="Cambria" w:hAnsi="Cambria" w:cs="Arial"/>
          <w:sz w:val="24"/>
          <w:szCs w:val="24"/>
          <w:lang w:val="en-GB"/>
        </w:rPr>
        <w:t>2</w:t>
      </w:r>
      <w:r w:rsidR="0006119F">
        <w:rPr>
          <w:rFonts w:ascii="Cambria" w:hAnsi="Cambria" w:cs="Arial"/>
          <w:sz w:val="24"/>
          <w:szCs w:val="24"/>
          <w:lang w:val="en-GB"/>
        </w:rPr>
        <w:t>1</w:t>
      </w:r>
      <w:r>
        <w:rPr>
          <w:rFonts w:ascii="Cambria" w:hAnsi="Cambria" w:cs="Arial"/>
          <w:sz w:val="24"/>
          <w:szCs w:val="24"/>
          <w:lang w:val="en-GB"/>
        </w:rPr>
        <w:t xml:space="preserve"> as against the </w:t>
      </w:r>
      <w:r w:rsidR="00C34399">
        <w:rPr>
          <w:rFonts w:ascii="Cambria" w:hAnsi="Cambria" w:cs="Arial"/>
          <w:sz w:val="24"/>
          <w:szCs w:val="24"/>
          <w:lang w:val="en-GB"/>
        </w:rPr>
        <w:t xml:space="preserve">average </w:t>
      </w:r>
      <w:r>
        <w:rPr>
          <w:rFonts w:ascii="Cambria" w:hAnsi="Cambria" w:cs="Arial"/>
          <w:sz w:val="24"/>
          <w:szCs w:val="24"/>
          <w:lang w:val="en-GB"/>
        </w:rPr>
        <w:t xml:space="preserve">SMD of </w:t>
      </w:r>
      <w:r w:rsidR="00674A64">
        <w:rPr>
          <w:rFonts w:ascii="Cambria" w:hAnsi="Cambria" w:cs="Arial"/>
          <w:sz w:val="24"/>
          <w:szCs w:val="24"/>
          <w:lang w:val="en-GB"/>
        </w:rPr>
        <w:t>9</w:t>
      </w:r>
      <w:r w:rsidR="0006119F">
        <w:rPr>
          <w:rFonts w:ascii="Cambria" w:hAnsi="Cambria" w:cs="Arial"/>
          <w:sz w:val="24"/>
          <w:szCs w:val="24"/>
          <w:lang w:val="en-GB"/>
        </w:rPr>
        <w:t>37</w:t>
      </w:r>
      <w:r w:rsidR="00635FD5">
        <w:rPr>
          <w:rFonts w:ascii="Cambria" w:hAnsi="Cambria" w:cs="Arial"/>
          <w:sz w:val="24"/>
          <w:szCs w:val="24"/>
          <w:lang w:val="en-GB"/>
        </w:rPr>
        <w:t xml:space="preserve"> MVA during </w:t>
      </w:r>
      <w:r>
        <w:rPr>
          <w:rFonts w:ascii="Cambria" w:hAnsi="Cambria" w:cs="Arial"/>
          <w:sz w:val="24"/>
          <w:szCs w:val="24"/>
          <w:lang w:val="en-GB"/>
        </w:rPr>
        <w:t>1</w:t>
      </w:r>
      <w:r w:rsidRPr="00DF557C">
        <w:rPr>
          <w:rFonts w:ascii="Cambria" w:hAnsi="Cambria" w:cs="Arial"/>
          <w:sz w:val="24"/>
          <w:szCs w:val="24"/>
          <w:vertAlign w:val="superscript"/>
          <w:lang w:val="en-GB"/>
        </w:rPr>
        <w:t>st</w:t>
      </w:r>
      <w:r>
        <w:rPr>
          <w:rFonts w:ascii="Cambria" w:hAnsi="Cambria" w:cs="Arial"/>
          <w:sz w:val="24"/>
          <w:szCs w:val="24"/>
          <w:lang w:val="en-GB"/>
        </w:rPr>
        <w:t xml:space="preserve"> half year of FY-201</w:t>
      </w:r>
      <w:r w:rsidR="0006119F">
        <w:rPr>
          <w:rFonts w:ascii="Cambria" w:hAnsi="Cambria" w:cs="Arial"/>
          <w:sz w:val="24"/>
          <w:szCs w:val="24"/>
          <w:lang w:val="en-GB"/>
        </w:rPr>
        <w:t>9</w:t>
      </w:r>
      <w:r>
        <w:rPr>
          <w:rFonts w:ascii="Cambria" w:hAnsi="Cambria" w:cs="Arial"/>
          <w:sz w:val="24"/>
          <w:szCs w:val="24"/>
          <w:lang w:val="en-GB"/>
        </w:rPr>
        <w:t>-</w:t>
      </w:r>
      <w:r w:rsidR="0006119F">
        <w:rPr>
          <w:rFonts w:ascii="Cambria" w:hAnsi="Cambria" w:cs="Arial"/>
          <w:sz w:val="24"/>
          <w:szCs w:val="24"/>
          <w:lang w:val="en-GB"/>
        </w:rPr>
        <w:t>20</w:t>
      </w:r>
      <w:r w:rsidR="001D7D2F">
        <w:rPr>
          <w:rFonts w:ascii="Cambria" w:hAnsi="Cambria" w:cs="Arial"/>
          <w:sz w:val="24"/>
          <w:szCs w:val="24"/>
          <w:lang w:val="en-GB"/>
        </w:rPr>
        <w:t xml:space="preserve">, the SMD of the utility as billed by GRIDCO is </w:t>
      </w:r>
      <w:r w:rsidR="00DA254E">
        <w:rPr>
          <w:rFonts w:ascii="Cambria" w:hAnsi="Cambria" w:cs="Arial"/>
          <w:sz w:val="24"/>
          <w:szCs w:val="24"/>
          <w:lang w:val="en-GB"/>
        </w:rPr>
        <w:t xml:space="preserve">without deducting demand component of open access drawal by industries. </w:t>
      </w:r>
    </w:p>
    <w:p w:rsidR="004276A0" w:rsidRPr="00DF557C" w:rsidRDefault="004276A0" w:rsidP="004276A0">
      <w:pPr>
        <w:pStyle w:val="BodyText2"/>
        <w:spacing w:line="360" w:lineRule="auto"/>
        <w:jc w:val="both"/>
        <w:rPr>
          <w:rFonts w:ascii="Cambria" w:hAnsi="Cambria" w:cs="Arial"/>
          <w:bCs/>
          <w:sz w:val="24"/>
          <w:szCs w:val="24"/>
          <w:lang w:val="en-GB"/>
        </w:rPr>
      </w:pPr>
      <w:r w:rsidRPr="00DF557C">
        <w:rPr>
          <w:rFonts w:ascii="Cambria" w:hAnsi="Cambria" w:cs="Arial"/>
          <w:bCs/>
          <w:sz w:val="24"/>
          <w:szCs w:val="24"/>
          <w:lang w:val="en-GB"/>
        </w:rPr>
        <w:t xml:space="preserve">The </w:t>
      </w:r>
      <w:r w:rsidR="006C38E9">
        <w:rPr>
          <w:rFonts w:ascii="Cambria" w:hAnsi="Cambria" w:cs="Arial"/>
          <w:bCs/>
          <w:sz w:val="24"/>
          <w:szCs w:val="24"/>
          <w:lang w:val="en-GB"/>
        </w:rPr>
        <w:t>Utility</w:t>
      </w:r>
      <w:r w:rsidRPr="00DF557C">
        <w:rPr>
          <w:rFonts w:ascii="Cambria" w:hAnsi="Cambria" w:cs="Arial"/>
          <w:bCs/>
          <w:sz w:val="24"/>
          <w:szCs w:val="24"/>
          <w:lang w:val="en-GB"/>
        </w:rPr>
        <w:t xml:space="preserve"> submits that SMD (MVA) projections for a year are estimated based on load mix, consumption patterns and other economic policies, and restricting the SMD of </w:t>
      </w:r>
      <w:r w:rsidR="00C34399">
        <w:rPr>
          <w:rFonts w:ascii="Cambria" w:hAnsi="Cambria" w:cs="Arial"/>
          <w:bCs/>
          <w:sz w:val="24"/>
          <w:szCs w:val="24"/>
          <w:lang w:val="en-GB"/>
        </w:rPr>
        <w:t>the utility</w:t>
      </w:r>
      <w:r w:rsidRPr="00DF557C">
        <w:rPr>
          <w:rFonts w:ascii="Cambria" w:hAnsi="Cambria" w:cs="Arial"/>
          <w:bCs/>
          <w:sz w:val="24"/>
          <w:szCs w:val="24"/>
          <w:lang w:val="en-GB"/>
        </w:rPr>
        <w:t xml:space="preserve"> up-to a particular level without considering the proposal as above and imposing penalty thereof for drawl beyond the approved level, shall put the </w:t>
      </w:r>
      <w:r w:rsidR="006C38E9">
        <w:rPr>
          <w:rFonts w:ascii="Cambria" w:hAnsi="Cambria" w:cs="Arial"/>
          <w:bCs/>
          <w:sz w:val="24"/>
          <w:szCs w:val="24"/>
          <w:lang w:val="en-GB"/>
        </w:rPr>
        <w:t>Utility</w:t>
      </w:r>
      <w:r w:rsidRPr="00DF557C">
        <w:rPr>
          <w:rFonts w:ascii="Cambria" w:hAnsi="Cambria" w:cs="Arial"/>
          <w:bCs/>
          <w:sz w:val="24"/>
          <w:szCs w:val="24"/>
          <w:lang w:val="en-GB"/>
        </w:rPr>
        <w:t xml:space="preserve"> with higher financial burden.</w:t>
      </w:r>
    </w:p>
    <w:p w:rsidR="004276A0" w:rsidRPr="00165AA6" w:rsidRDefault="004276A0" w:rsidP="000334F1">
      <w:pPr>
        <w:pStyle w:val="Heading1"/>
        <w:numPr>
          <w:ilvl w:val="1"/>
          <w:numId w:val="1"/>
        </w:numPr>
        <w:spacing w:line="360" w:lineRule="auto"/>
        <w:jc w:val="both"/>
        <w:rPr>
          <w:rFonts w:ascii="Cambria" w:hAnsi="Cambria"/>
          <w:sz w:val="24"/>
          <w:szCs w:val="24"/>
        </w:rPr>
      </w:pPr>
      <w:bookmarkStart w:id="5" w:name="_Toc25850910"/>
      <w:r w:rsidRPr="00165AA6">
        <w:rPr>
          <w:rFonts w:ascii="Cambria" w:hAnsi="Cambria"/>
          <w:sz w:val="24"/>
          <w:szCs w:val="24"/>
        </w:rPr>
        <w:t>Employees Expenses</w:t>
      </w:r>
      <w:bookmarkEnd w:id="5"/>
    </w:p>
    <w:p w:rsidR="004276A0" w:rsidRDefault="004276A0" w:rsidP="004276A0">
      <w:pPr>
        <w:pStyle w:val="Footer"/>
        <w:tabs>
          <w:tab w:val="clear" w:pos="4320"/>
          <w:tab w:val="clear" w:pos="8640"/>
        </w:tabs>
        <w:spacing w:line="360" w:lineRule="auto"/>
        <w:jc w:val="both"/>
        <w:rPr>
          <w:rFonts w:ascii="Cambria" w:hAnsi="Cambria" w:cs="Arial"/>
        </w:rPr>
      </w:pPr>
      <w:r w:rsidRPr="00BF0E9D">
        <w:rPr>
          <w:rFonts w:ascii="Cambria" w:hAnsi="Cambria" w:cs="Arial"/>
        </w:rPr>
        <w:t xml:space="preserve">The </w:t>
      </w:r>
      <w:r w:rsidR="00C34399">
        <w:rPr>
          <w:rFonts w:ascii="Cambria" w:hAnsi="Cambria" w:cs="Arial"/>
        </w:rPr>
        <w:t>utility</w:t>
      </w:r>
      <w:r w:rsidRPr="00BF0E9D">
        <w:rPr>
          <w:rFonts w:ascii="Cambria" w:hAnsi="Cambria" w:cs="Arial"/>
        </w:rPr>
        <w:t xml:space="preserve"> was formed after unbundling of GRIDCO as per </w:t>
      </w:r>
      <w:r w:rsidR="001613A4">
        <w:rPr>
          <w:rFonts w:ascii="Cambria" w:hAnsi="Cambria" w:cs="Arial"/>
        </w:rPr>
        <w:t>2</w:t>
      </w:r>
      <w:r w:rsidR="001613A4" w:rsidRPr="001613A4">
        <w:rPr>
          <w:rFonts w:ascii="Cambria" w:hAnsi="Cambria" w:cs="Arial"/>
          <w:vertAlign w:val="superscript"/>
        </w:rPr>
        <w:t>nd</w:t>
      </w:r>
      <w:r w:rsidR="001613A4">
        <w:rPr>
          <w:rFonts w:ascii="Cambria" w:hAnsi="Cambria" w:cs="Arial"/>
        </w:rPr>
        <w:t xml:space="preserve"> </w:t>
      </w:r>
      <w:r w:rsidRPr="00BF0E9D">
        <w:rPr>
          <w:rFonts w:ascii="Cambria" w:hAnsi="Cambria" w:cs="Arial"/>
        </w:rPr>
        <w:t xml:space="preserve">Transfer Scheme, 1998 and thereby all the personnel deployed in Distribution business were transferred from erstwhile GRIDCO.  Initially, the nos. of personnel on roll was </w:t>
      </w:r>
      <w:r w:rsidRPr="00402407">
        <w:rPr>
          <w:rFonts w:ascii="Cambria" w:hAnsi="Cambria" w:cs="Arial"/>
        </w:rPr>
        <w:t xml:space="preserve">around </w:t>
      </w:r>
      <w:r w:rsidR="00F82432">
        <w:rPr>
          <w:rFonts w:ascii="Cambria" w:hAnsi="Cambria" w:cs="Arial"/>
        </w:rPr>
        <w:t>4600</w:t>
      </w:r>
      <w:r w:rsidRPr="00402407">
        <w:rPr>
          <w:rFonts w:ascii="Cambria" w:hAnsi="Cambria" w:cs="Arial"/>
        </w:rPr>
        <w:t xml:space="preserve"> nos which</w:t>
      </w:r>
      <w:r w:rsidRPr="00BF0E9D">
        <w:rPr>
          <w:rFonts w:ascii="Cambria" w:hAnsi="Cambria" w:cs="Arial"/>
        </w:rPr>
        <w:t xml:space="preserve"> were inadequate and unevenly distributed to meet the functional requirement. Subsequently, by way of separation due to retirement, resignation death etc, there has been drastically reduction of manpower. In view of the large scale energisation of new areas either though rural electrification or due to addition of new consumers, the </w:t>
      </w:r>
      <w:r w:rsidR="006C38E9">
        <w:rPr>
          <w:rFonts w:ascii="Cambria" w:hAnsi="Cambria" w:cs="Arial"/>
        </w:rPr>
        <w:t>Utility</w:t>
      </w:r>
      <w:r w:rsidRPr="00BF0E9D">
        <w:rPr>
          <w:rFonts w:ascii="Cambria" w:hAnsi="Cambria" w:cs="Arial"/>
        </w:rPr>
        <w:t xml:space="preserve"> restructured and reorganized by creation of new Divisions, sub-division and Sections with reinforcement of allied activities such as MRT , Energy Audit , maintenance of distribution transformers and vigilance  activities.  Main objective was to improve the 100 % of consumer coverage, reduction in Distribution losses and to meet the Revenue collection target. </w:t>
      </w:r>
      <w:r w:rsidR="007176A3">
        <w:rPr>
          <w:rFonts w:ascii="Cambria" w:hAnsi="Cambria" w:cs="Arial"/>
        </w:rPr>
        <w:t xml:space="preserve">At present </w:t>
      </w:r>
      <w:r w:rsidR="00635FD5">
        <w:rPr>
          <w:rFonts w:ascii="Cambria" w:hAnsi="Cambria" w:cs="Arial"/>
        </w:rPr>
        <w:t xml:space="preserve">the </w:t>
      </w:r>
      <w:r w:rsidR="006C38E9">
        <w:rPr>
          <w:rFonts w:ascii="Cambria" w:hAnsi="Cambria" w:cs="Arial"/>
        </w:rPr>
        <w:t>Utility</w:t>
      </w:r>
      <w:r w:rsidR="00635FD5">
        <w:rPr>
          <w:rFonts w:ascii="Cambria" w:hAnsi="Cambria" w:cs="Arial"/>
        </w:rPr>
        <w:t xml:space="preserve"> </w:t>
      </w:r>
      <w:r w:rsidR="007176A3">
        <w:rPr>
          <w:rFonts w:ascii="Cambria" w:hAnsi="Cambria" w:cs="Arial"/>
        </w:rPr>
        <w:t xml:space="preserve">has </w:t>
      </w:r>
      <w:r w:rsidR="00F82432">
        <w:rPr>
          <w:rFonts w:ascii="Cambria" w:hAnsi="Cambria" w:cs="Arial"/>
        </w:rPr>
        <w:t>2</w:t>
      </w:r>
      <w:r w:rsidR="003928A6">
        <w:rPr>
          <w:rFonts w:ascii="Cambria" w:hAnsi="Cambria" w:cs="Arial"/>
        </w:rPr>
        <w:t>453</w:t>
      </w:r>
      <w:r w:rsidR="00635FD5">
        <w:rPr>
          <w:rFonts w:ascii="Cambria" w:hAnsi="Cambria" w:cs="Arial"/>
        </w:rPr>
        <w:t xml:space="preserve"> n</w:t>
      </w:r>
      <w:r w:rsidR="007176A3">
        <w:rPr>
          <w:rFonts w:ascii="Cambria" w:hAnsi="Cambria" w:cs="Arial"/>
        </w:rPr>
        <w:t>umber of employees on the roll</w:t>
      </w:r>
      <w:r w:rsidR="00635FD5">
        <w:rPr>
          <w:rFonts w:ascii="Cambria" w:hAnsi="Cambria" w:cs="Arial"/>
        </w:rPr>
        <w:t xml:space="preserve">, </w:t>
      </w:r>
      <w:r w:rsidR="00F82432">
        <w:rPr>
          <w:rFonts w:ascii="Cambria" w:hAnsi="Cambria" w:cs="Arial"/>
        </w:rPr>
        <w:t>3</w:t>
      </w:r>
      <w:r w:rsidR="003928A6">
        <w:rPr>
          <w:rFonts w:ascii="Cambria" w:hAnsi="Cambria" w:cs="Arial"/>
        </w:rPr>
        <w:t>765</w:t>
      </w:r>
      <w:r w:rsidR="002137CE" w:rsidRPr="002137CE">
        <w:rPr>
          <w:rFonts w:ascii="Cambria" w:hAnsi="Cambria" w:cs="Arial"/>
        </w:rPr>
        <w:t xml:space="preserve"> </w:t>
      </w:r>
      <w:r w:rsidR="007176A3" w:rsidRPr="002137CE">
        <w:rPr>
          <w:rFonts w:ascii="Cambria" w:hAnsi="Cambria" w:cs="Arial"/>
        </w:rPr>
        <w:t xml:space="preserve">no. of pensioners </w:t>
      </w:r>
      <w:r w:rsidR="00F82432">
        <w:rPr>
          <w:rFonts w:ascii="Cambria" w:hAnsi="Cambria" w:cs="Arial"/>
        </w:rPr>
        <w:t xml:space="preserve">including </w:t>
      </w:r>
      <w:r w:rsidR="003E61B8">
        <w:rPr>
          <w:rFonts w:ascii="Cambria" w:hAnsi="Cambria" w:cs="Arial"/>
        </w:rPr>
        <w:t xml:space="preserve">family pensioners </w:t>
      </w:r>
      <w:r w:rsidR="007176A3">
        <w:rPr>
          <w:rFonts w:ascii="Cambria" w:hAnsi="Cambria" w:cs="Arial"/>
        </w:rPr>
        <w:t>have been paid out of revenue due to the take away of the Transfer Scheme.</w:t>
      </w:r>
    </w:p>
    <w:p w:rsidR="008E5EB2" w:rsidRPr="00BF0E9D" w:rsidRDefault="008E5EB2" w:rsidP="008E5EB2">
      <w:pPr>
        <w:pStyle w:val="Footer"/>
        <w:tabs>
          <w:tab w:val="clear" w:pos="4320"/>
          <w:tab w:val="clear" w:pos="8640"/>
        </w:tabs>
        <w:spacing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draws the attention of the Hon’ble Commission that </w:t>
      </w:r>
      <w:r w:rsidR="003E61B8">
        <w:rPr>
          <w:rFonts w:ascii="Cambria" w:hAnsi="Cambria" w:cs="Arial"/>
        </w:rPr>
        <w:t xml:space="preserve">earlier before revocation of license </w:t>
      </w:r>
      <w:r w:rsidR="00663A8F">
        <w:rPr>
          <w:rFonts w:ascii="Cambria" w:hAnsi="Cambria" w:cs="Arial"/>
        </w:rPr>
        <w:t xml:space="preserve">on account of </w:t>
      </w:r>
      <w:r w:rsidR="003E61B8">
        <w:rPr>
          <w:rFonts w:ascii="Cambria" w:hAnsi="Cambria" w:cs="Arial"/>
        </w:rPr>
        <w:t xml:space="preserve">non </w:t>
      </w:r>
      <w:r w:rsidRPr="00BF0E9D">
        <w:rPr>
          <w:rFonts w:ascii="Cambria" w:hAnsi="Cambria" w:cs="Arial"/>
        </w:rPr>
        <w:t>relaxation</w:t>
      </w:r>
      <w:r w:rsidR="003E61B8">
        <w:rPr>
          <w:rFonts w:ascii="Cambria" w:hAnsi="Cambria" w:cs="Arial"/>
        </w:rPr>
        <w:t xml:space="preserve"> of escrow</w:t>
      </w:r>
      <w:r w:rsidR="00663A8F">
        <w:rPr>
          <w:rFonts w:ascii="Cambria" w:hAnsi="Cambria" w:cs="Arial"/>
        </w:rPr>
        <w:t>,</w:t>
      </w:r>
      <w:r w:rsidR="003E61B8">
        <w:rPr>
          <w:rFonts w:ascii="Cambria" w:hAnsi="Cambria" w:cs="Arial"/>
        </w:rPr>
        <w:t xml:space="preserve"> </w:t>
      </w:r>
      <w:r w:rsidR="00F82432">
        <w:rPr>
          <w:rFonts w:ascii="Cambria" w:hAnsi="Cambria" w:cs="Arial"/>
        </w:rPr>
        <w:t>NESCO</w:t>
      </w:r>
      <w:r w:rsidRPr="00BF0E9D">
        <w:rPr>
          <w:rFonts w:ascii="Cambria" w:hAnsi="Cambria" w:cs="Arial"/>
        </w:rPr>
        <w:t xml:space="preserve"> ha</w:t>
      </w:r>
      <w:r w:rsidR="00AE0B3F">
        <w:rPr>
          <w:rFonts w:ascii="Cambria" w:hAnsi="Cambria" w:cs="Arial"/>
        </w:rPr>
        <w:t xml:space="preserve">d made </w:t>
      </w:r>
      <w:r w:rsidRPr="00BF0E9D">
        <w:rPr>
          <w:rFonts w:ascii="Cambria" w:hAnsi="Cambria" w:cs="Arial"/>
        </w:rPr>
        <w:t xml:space="preserve">short term </w:t>
      </w:r>
      <w:r w:rsidR="00AE0B3F">
        <w:rPr>
          <w:rFonts w:ascii="Cambria" w:hAnsi="Cambria" w:cs="Arial"/>
        </w:rPr>
        <w:t xml:space="preserve">loan </w:t>
      </w:r>
      <w:r w:rsidR="00663A8F">
        <w:rPr>
          <w:rFonts w:ascii="Cambria" w:hAnsi="Cambria" w:cs="Arial"/>
        </w:rPr>
        <w:t>with h</w:t>
      </w:r>
      <w:r w:rsidRPr="00BF0E9D">
        <w:rPr>
          <w:rFonts w:ascii="Cambria" w:hAnsi="Cambria" w:cs="Arial"/>
        </w:rPr>
        <w:t xml:space="preserve">igh cost borrowings to pay salaries, by way of pledging the security deposits that are </w:t>
      </w:r>
      <w:r w:rsidRPr="00BF0E9D">
        <w:rPr>
          <w:rFonts w:ascii="Cambria" w:hAnsi="Cambria" w:cs="Arial"/>
        </w:rPr>
        <w:lastRenderedPageBreak/>
        <w:t xml:space="preserve">available with </w:t>
      </w:r>
      <w:r w:rsidR="00306DE6" w:rsidRPr="00BF0E9D">
        <w:rPr>
          <w:rFonts w:ascii="Cambria" w:hAnsi="Cambria" w:cs="Arial"/>
        </w:rPr>
        <w:t>it</w:t>
      </w:r>
      <w:r w:rsidRPr="00BF0E9D">
        <w:rPr>
          <w:rFonts w:ascii="Cambria" w:hAnsi="Cambria" w:cs="Arial"/>
        </w:rPr>
        <w:t xml:space="preserve">. </w:t>
      </w:r>
      <w:r w:rsidR="00F82432">
        <w:rPr>
          <w:rFonts w:ascii="Cambria" w:hAnsi="Cambria" w:cs="Arial"/>
        </w:rPr>
        <w:t>NESCO</w:t>
      </w:r>
      <w:r>
        <w:rPr>
          <w:rFonts w:ascii="Cambria" w:hAnsi="Cambria" w:cs="Arial"/>
        </w:rPr>
        <w:t xml:space="preserve"> has </w:t>
      </w:r>
      <w:r w:rsidR="00AE0B3F">
        <w:rPr>
          <w:rFonts w:ascii="Cambria" w:hAnsi="Cambria" w:cs="Arial"/>
        </w:rPr>
        <w:t>pledged Rs.</w:t>
      </w:r>
      <w:r w:rsidR="00F82432">
        <w:rPr>
          <w:rFonts w:ascii="Cambria" w:hAnsi="Cambria" w:cs="Arial"/>
        </w:rPr>
        <w:t xml:space="preserve"> </w:t>
      </w:r>
      <w:r w:rsidR="00A93296">
        <w:rPr>
          <w:rFonts w:ascii="Cambria" w:hAnsi="Cambria" w:cs="Arial"/>
        </w:rPr>
        <w:t>205</w:t>
      </w:r>
      <w:r w:rsidR="00AE0B3F">
        <w:rPr>
          <w:rFonts w:ascii="Cambria" w:hAnsi="Cambria" w:cs="Arial"/>
        </w:rPr>
        <w:t xml:space="preserve"> crs to </w:t>
      </w:r>
      <w:r>
        <w:rPr>
          <w:rFonts w:ascii="Cambria" w:hAnsi="Cambria" w:cs="Arial"/>
        </w:rPr>
        <w:t xml:space="preserve">availed short term loans and the financial implications arising out of the same along with interest costs </w:t>
      </w:r>
      <w:r w:rsidR="00AE0B3F">
        <w:rPr>
          <w:rFonts w:ascii="Cambria" w:hAnsi="Cambria" w:cs="Arial"/>
        </w:rPr>
        <w:t>has been projected in its application.</w:t>
      </w:r>
      <w:r>
        <w:rPr>
          <w:rFonts w:ascii="Cambria" w:hAnsi="Cambria" w:cs="Arial"/>
        </w:rPr>
        <w:t xml:space="preserve"> </w:t>
      </w:r>
      <w:r w:rsidR="00942922">
        <w:rPr>
          <w:rFonts w:ascii="Cambria" w:hAnsi="Cambria" w:cs="Arial"/>
        </w:rPr>
        <w:t>The outstanding of loan on availed for salary as on 30</w:t>
      </w:r>
      <w:r w:rsidR="00942922" w:rsidRPr="00942922">
        <w:rPr>
          <w:rFonts w:ascii="Cambria" w:hAnsi="Cambria" w:cs="Arial"/>
          <w:vertAlign w:val="superscript"/>
        </w:rPr>
        <w:t>th</w:t>
      </w:r>
      <w:r w:rsidR="00A43A07">
        <w:rPr>
          <w:rFonts w:ascii="Cambria" w:hAnsi="Cambria" w:cs="Arial"/>
        </w:rPr>
        <w:t xml:space="preserve"> Sep-19</w:t>
      </w:r>
      <w:r w:rsidR="00942922">
        <w:rPr>
          <w:rFonts w:ascii="Cambria" w:hAnsi="Cambria" w:cs="Arial"/>
        </w:rPr>
        <w:t xml:space="preserve"> is Rs.</w:t>
      </w:r>
      <w:r w:rsidR="00F82432">
        <w:rPr>
          <w:rFonts w:ascii="Cambria" w:hAnsi="Cambria" w:cs="Arial"/>
        </w:rPr>
        <w:t xml:space="preserve"> </w:t>
      </w:r>
      <w:r w:rsidR="00A93296">
        <w:rPr>
          <w:rFonts w:ascii="Cambria" w:hAnsi="Cambria" w:cs="Arial"/>
        </w:rPr>
        <w:t>1</w:t>
      </w:r>
      <w:r w:rsidR="00A43A07">
        <w:rPr>
          <w:rFonts w:ascii="Cambria" w:hAnsi="Cambria" w:cs="Arial"/>
        </w:rPr>
        <w:t>85</w:t>
      </w:r>
      <w:r w:rsidR="00942922">
        <w:rPr>
          <w:rFonts w:ascii="Cambria" w:hAnsi="Cambria" w:cs="Arial"/>
        </w:rPr>
        <w:t xml:space="preserve"> crs.</w:t>
      </w:r>
    </w:p>
    <w:p w:rsidR="004276A0"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 xml:space="preserve">Hon’ble Commission approved Rs. </w:t>
      </w:r>
      <w:r w:rsidR="00A43A07">
        <w:rPr>
          <w:rFonts w:ascii="Cambria" w:hAnsi="Cambria" w:cs="Arial"/>
          <w:sz w:val="24"/>
          <w:szCs w:val="24"/>
          <w:lang w:val="en-GB"/>
        </w:rPr>
        <w:t>327.13</w:t>
      </w:r>
      <w:r w:rsidR="001D7D2F">
        <w:rPr>
          <w:rFonts w:ascii="Cambria" w:hAnsi="Cambria" w:cs="Arial"/>
          <w:sz w:val="24"/>
          <w:szCs w:val="24"/>
          <w:lang w:val="en-GB"/>
        </w:rPr>
        <w:t xml:space="preserve"> </w:t>
      </w:r>
      <w:r w:rsidRPr="00BF0E9D">
        <w:rPr>
          <w:rFonts w:ascii="Cambria" w:hAnsi="Cambria" w:cs="Arial"/>
          <w:sz w:val="24"/>
          <w:szCs w:val="24"/>
          <w:lang w:val="en-GB"/>
        </w:rPr>
        <w:t>crores for the year 201</w:t>
      </w:r>
      <w:r w:rsidR="00A43A07">
        <w:rPr>
          <w:rFonts w:ascii="Cambria" w:hAnsi="Cambria" w:cs="Arial"/>
          <w:sz w:val="24"/>
          <w:szCs w:val="24"/>
          <w:lang w:val="en-GB"/>
        </w:rPr>
        <w:t>9-20</w:t>
      </w:r>
      <w:r w:rsidRPr="00BF0E9D">
        <w:rPr>
          <w:rFonts w:ascii="Cambria" w:hAnsi="Cambria" w:cs="Arial"/>
          <w:sz w:val="24"/>
          <w:szCs w:val="24"/>
          <w:lang w:val="en-GB"/>
        </w:rPr>
        <w:t xml:space="preserve">. </w:t>
      </w:r>
      <w:r w:rsidR="009513BA">
        <w:rPr>
          <w:rFonts w:ascii="Cambria" w:hAnsi="Cambria" w:cs="Arial"/>
          <w:sz w:val="24"/>
          <w:szCs w:val="24"/>
          <w:lang w:val="en-GB"/>
        </w:rPr>
        <w:t>T</w:t>
      </w:r>
      <w:r w:rsidRPr="00BF0E9D">
        <w:rPr>
          <w:rFonts w:ascii="Cambria" w:hAnsi="Cambria" w:cs="Arial"/>
          <w:sz w:val="24"/>
          <w:szCs w:val="24"/>
          <w:lang w:val="en-GB"/>
        </w:rPr>
        <w:t>aking into consideration the actual payment made during 1</w:t>
      </w:r>
      <w:r w:rsidRPr="00BF0E9D">
        <w:rPr>
          <w:rFonts w:ascii="Cambria" w:hAnsi="Cambria" w:cs="Arial"/>
          <w:sz w:val="24"/>
          <w:szCs w:val="24"/>
          <w:vertAlign w:val="superscript"/>
          <w:lang w:val="en-GB"/>
        </w:rPr>
        <w:t>st</w:t>
      </w:r>
      <w:r w:rsidRPr="00BF0E9D">
        <w:rPr>
          <w:rFonts w:ascii="Cambria" w:hAnsi="Cambria" w:cs="Arial"/>
          <w:sz w:val="24"/>
          <w:szCs w:val="24"/>
          <w:lang w:val="en-GB"/>
        </w:rPr>
        <w:t xml:space="preserve"> six months of FY 201</w:t>
      </w:r>
      <w:r w:rsidR="00A43A07">
        <w:rPr>
          <w:rFonts w:ascii="Cambria" w:hAnsi="Cambria" w:cs="Arial"/>
          <w:sz w:val="24"/>
          <w:szCs w:val="24"/>
          <w:lang w:val="en-GB"/>
        </w:rPr>
        <w:t>9-20</w:t>
      </w:r>
      <w:r w:rsidRPr="00BF0E9D">
        <w:rPr>
          <w:rFonts w:ascii="Cambria" w:hAnsi="Cambria" w:cs="Arial"/>
          <w:sz w:val="24"/>
          <w:szCs w:val="24"/>
          <w:lang w:val="en-GB"/>
        </w:rPr>
        <w:t xml:space="preserve">, the </w:t>
      </w:r>
      <w:r w:rsidR="006C38E9">
        <w:rPr>
          <w:rFonts w:ascii="Cambria" w:hAnsi="Cambria" w:cs="Arial"/>
          <w:sz w:val="24"/>
          <w:szCs w:val="24"/>
          <w:lang w:val="en-GB"/>
        </w:rPr>
        <w:t>Utility</w:t>
      </w:r>
      <w:r w:rsidRPr="00BF0E9D">
        <w:rPr>
          <w:rFonts w:ascii="Cambria" w:hAnsi="Cambria" w:cs="Arial"/>
          <w:sz w:val="24"/>
          <w:szCs w:val="24"/>
          <w:lang w:val="en-GB"/>
        </w:rPr>
        <w:t xml:space="preserve"> estimated </w:t>
      </w:r>
      <w:r w:rsidR="009513BA">
        <w:rPr>
          <w:rFonts w:ascii="Cambria" w:hAnsi="Cambria" w:cs="Arial"/>
          <w:sz w:val="24"/>
          <w:szCs w:val="24"/>
          <w:lang w:val="en-GB"/>
        </w:rPr>
        <w:t xml:space="preserve">the approved </w:t>
      </w:r>
      <w:r w:rsidRPr="00BF0E9D">
        <w:rPr>
          <w:rFonts w:ascii="Cambria" w:hAnsi="Cambria" w:cs="Arial"/>
          <w:sz w:val="24"/>
          <w:szCs w:val="24"/>
          <w:lang w:val="en-GB"/>
        </w:rPr>
        <w:t xml:space="preserve">amount </w:t>
      </w:r>
      <w:r w:rsidR="001D7D2F">
        <w:rPr>
          <w:rFonts w:ascii="Cambria" w:hAnsi="Cambria" w:cs="Arial"/>
          <w:sz w:val="24"/>
          <w:szCs w:val="24"/>
          <w:lang w:val="en-GB"/>
        </w:rPr>
        <w:t xml:space="preserve">would be </w:t>
      </w:r>
      <w:r w:rsidRPr="00BF0E9D">
        <w:rPr>
          <w:rFonts w:ascii="Cambria" w:hAnsi="Cambria" w:cs="Arial"/>
          <w:sz w:val="24"/>
          <w:szCs w:val="24"/>
          <w:lang w:val="en-GB"/>
        </w:rPr>
        <w:t>of Rs.</w:t>
      </w:r>
      <w:r w:rsidR="00A43A07">
        <w:rPr>
          <w:rFonts w:ascii="Cambria" w:hAnsi="Cambria" w:cs="Arial"/>
          <w:sz w:val="24"/>
          <w:szCs w:val="24"/>
          <w:lang w:val="en-GB"/>
        </w:rPr>
        <w:t>329.25</w:t>
      </w:r>
      <w:r w:rsidRPr="00BF0E9D">
        <w:rPr>
          <w:rFonts w:ascii="Cambria" w:hAnsi="Cambria" w:cs="Arial"/>
          <w:sz w:val="24"/>
          <w:szCs w:val="24"/>
          <w:lang w:val="en-GB"/>
        </w:rPr>
        <w:t xml:space="preserve"> Cr</w:t>
      </w:r>
      <w:r w:rsidR="00306DE6">
        <w:rPr>
          <w:rFonts w:ascii="Cambria" w:hAnsi="Cambria" w:cs="Arial"/>
          <w:sz w:val="24"/>
          <w:szCs w:val="24"/>
          <w:lang w:val="en-GB"/>
        </w:rPr>
        <w:t xml:space="preserve"> net of expenses capitalised</w:t>
      </w:r>
      <w:r w:rsidRPr="00BF0E9D">
        <w:rPr>
          <w:rFonts w:ascii="Cambria" w:hAnsi="Cambria" w:cs="Arial"/>
          <w:sz w:val="24"/>
          <w:szCs w:val="24"/>
          <w:lang w:val="en-GB"/>
        </w:rPr>
        <w:t xml:space="preserve"> </w:t>
      </w:r>
      <w:r w:rsidR="00306DE6">
        <w:rPr>
          <w:rFonts w:ascii="Cambria" w:hAnsi="Cambria" w:cs="Arial"/>
          <w:sz w:val="24"/>
          <w:szCs w:val="24"/>
          <w:lang w:val="en-GB"/>
        </w:rPr>
        <w:t xml:space="preserve">for the </w:t>
      </w:r>
      <w:r w:rsidRPr="00BF0E9D">
        <w:rPr>
          <w:rFonts w:ascii="Cambria" w:hAnsi="Cambria" w:cs="Arial"/>
          <w:sz w:val="24"/>
          <w:szCs w:val="24"/>
          <w:lang w:val="en-GB"/>
        </w:rPr>
        <w:t xml:space="preserve">current year.  </w:t>
      </w:r>
    </w:p>
    <w:p w:rsidR="00402407" w:rsidRPr="00BF0E9D"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 xml:space="preserve">The </w:t>
      </w:r>
      <w:r w:rsidR="009513BA" w:rsidRPr="00BF0E9D">
        <w:rPr>
          <w:rFonts w:ascii="Cambria" w:hAnsi="Cambria" w:cs="Arial"/>
          <w:sz w:val="24"/>
          <w:szCs w:val="24"/>
          <w:lang w:val="en-GB"/>
        </w:rPr>
        <w:t>details</w:t>
      </w:r>
      <w:r w:rsidR="009513BA">
        <w:rPr>
          <w:rFonts w:ascii="Cambria" w:hAnsi="Cambria" w:cs="Arial"/>
          <w:sz w:val="24"/>
          <w:szCs w:val="24"/>
          <w:lang w:val="en-GB"/>
        </w:rPr>
        <w:t xml:space="preserve"> of </w:t>
      </w:r>
      <w:r w:rsidR="009513BA" w:rsidRPr="00BF0E9D">
        <w:rPr>
          <w:rFonts w:ascii="Cambria" w:hAnsi="Cambria" w:cs="Arial"/>
          <w:sz w:val="24"/>
          <w:szCs w:val="24"/>
          <w:lang w:val="en-GB"/>
        </w:rPr>
        <w:t>number of employees to be recruited and retired during the current year and the ensuing year are</w:t>
      </w:r>
      <w:r w:rsidRPr="00BF0E9D">
        <w:rPr>
          <w:rFonts w:ascii="Cambria" w:hAnsi="Cambria" w:cs="Arial"/>
          <w:sz w:val="24"/>
          <w:szCs w:val="24"/>
          <w:lang w:val="en-GB"/>
        </w:rPr>
        <w:t xml:space="preserve"> submitted in the following table.</w:t>
      </w:r>
    </w:p>
    <w:tbl>
      <w:tblPr>
        <w:tblpPr w:leftFromText="180" w:rightFromText="180" w:vertAnchor="text" w:horzAnchor="margin" w:tblpY="63"/>
        <w:tblOverlap w:val="never"/>
        <w:tblW w:w="9039" w:type="dxa"/>
        <w:tblLook w:val="0000"/>
      </w:tblPr>
      <w:tblGrid>
        <w:gridCol w:w="2770"/>
        <w:gridCol w:w="1057"/>
        <w:gridCol w:w="1526"/>
        <w:gridCol w:w="1134"/>
        <w:gridCol w:w="1559"/>
        <w:gridCol w:w="993"/>
      </w:tblGrid>
      <w:tr w:rsidR="004276A0" w:rsidRPr="00BF0E9D" w:rsidTr="000F3C65">
        <w:trPr>
          <w:trHeight w:val="255"/>
          <w:tblHeader/>
        </w:trPr>
        <w:tc>
          <w:tcPr>
            <w:tcW w:w="2770" w:type="dxa"/>
            <w:tcBorders>
              <w:top w:val="single" w:sz="4" w:space="0" w:color="auto"/>
              <w:left w:val="single" w:sz="4" w:space="0" w:color="auto"/>
              <w:bottom w:val="single" w:sz="4" w:space="0" w:color="auto"/>
              <w:right w:val="single" w:sz="4" w:space="0" w:color="auto"/>
            </w:tcBorders>
            <w:shd w:val="clear" w:color="auto" w:fill="auto"/>
            <w:vAlign w:val="center"/>
          </w:tcPr>
          <w:p w:rsidR="004276A0" w:rsidRPr="00BF0E9D" w:rsidRDefault="00A93296" w:rsidP="000F3C65">
            <w:pPr>
              <w:pStyle w:val="NoSpacing"/>
              <w:jc w:val="center"/>
            </w:pPr>
            <w:r>
              <w:t>N</w:t>
            </w:r>
            <w:r w:rsidR="004276A0" w:rsidRPr="00BF0E9D">
              <w:t>ESCO Ltd.</w:t>
            </w:r>
          </w:p>
        </w:tc>
        <w:tc>
          <w:tcPr>
            <w:tcW w:w="2583" w:type="dxa"/>
            <w:gridSpan w:val="2"/>
            <w:tcBorders>
              <w:top w:val="single" w:sz="4" w:space="0" w:color="auto"/>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Executive</w:t>
            </w:r>
          </w:p>
        </w:tc>
        <w:tc>
          <w:tcPr>
            <w:tcW w:w="2693" w:type="dxa"/>
            <w:gridSpan w:val="2"/>
            <w:tcBorders>
              <w:top w:val="single" w:sz="4" w:space="0" w:color="auto"/>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Non-Executive</w:t>
            </w:r>
          </w:p>
        </w:tc>
        <w:tc>
          <w:tcPr>
            <w:tcW w:w="993" w:type="dxa"/>
            <w:tcBorders>
              <w:top w:val="single" w:sz="4" w:space="0" w:color="auto"/>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Total</w:t>
            </w:r>
          </w:p>
        </w:tc>
      </w:tr>
      <w:tr w:rsidR="004276A0" w:rsidRPr="00BF0E9D" w:rsidTr="000F3C65">
        <w:trPr>
          <w:trHeight w:val="510"/>
          <w:tblHeader/>
        </w:trPr>
        <w:tc>
          <w:tcPr>
            <w:tcW w:w="2770" w:type="dxa"/>
            <w:tcBorders>
              <w:top w:val="nil"/>
              <w:left w:val="single" w:sz="4" w:space="0" w:color="auto"/>
              <w:bottom w:val="single" w:sz="4" w:space="0" w:color="auto"/>
              <w:right w:val="single" w:sz="4" w:space="0" w:color="auto"/>
            </w:tcBorders>
            <w:shd w:val="clear" w:color="auto" w:fill="auto"/>
            <w:vAlign w:val="bottom"/>
          </w:tcPr>
          <w:p w:rsidR="004276A0" w:rsidRPr="00BF0E9D" w:rsidRDefault="004276A0" w:rsidP="000F3C65">
            <w:pPr>
              <w:pStyle w:val="NoSpacing"/>
            </w:pPr>
            <w:r w:rsidRPr="00BF0E9D">
              <w:t> </w:t>
            </w:r>
          </w:p>
        </w:tc>
        <w:tc>
          <w:tcPr>
            <w:tcW w:w="1057" w:type="dxa"/>
            <w:tcBorders>
              <w:top w:val="nil"/>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Technical</w:t>
            </w:r>
          </w:p>
        </w:tc>
        <w:tc>
          <w:tcPr>
            <w:tcW w:w="1526" w:type="dxa"/>
            <w:tcBorders>
              <w:top w:val="nil"/>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Non-Technical</w:t>
            </w:r>
          </w:p>
        </w:tc>
        <w:tc>
          <w:tcPr>
            <w:tcW w:w="1134" w:type="dxa"/>
            <w:tcBorders>
              <w:top w:val="nil"/>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Technical</w:t>
            </w:r>
          </w:p>
        </w:tc>
        <w:tc>
          <w:tcPr>
            <w:tcW w:w="1559" w:type="dxa"/>
            <w:tcBorders>
              <w:top w:val="nil"/>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r w:rsidRPr="00BF0E9D">
              <w:t>Non-Technical</w:t>
            </w:r>
          </w:p>
        </w:tc>
        <w:tc>
          <w:tcPr>
            <w:tcW w:w="993" w:type="dxa"/>
            <w:tcBorders>
              <w:top w:val="nil"/>
              <w:left w:val="nil"/>
              <w:bottom w:val="single" w:sz="4" w:space="0" w:color="auto"/>
              <w:right w:val="single" w:sz="4" w:space="0" w:color="auto"/>
            </w:tcBorders>
            <w:shd w:val="clear" w:color="auto" w:fill="auto"/>
            <w:vAlign w:val="center"/>
          </w:tcPr>
          <w:p w:rsidR="004276A0" w:rsidRPr="00BF0E9D" w:rsidRDefault="004276A0" w:rsidP="000F3C65">
            <w:pPr>
              <w:pStyle w:val="NoSpacing"/>
              <w:jc w:val="center"/>
            </w:pPr>
          </w:p>
        </w:tc>
      </w:tr>
      <w:tr w:rsidR="009513BA"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674A64" w:rsidRPr="00BF0E9D" w:rsidRDefault="009513BA" w:rsidP="00942922">
            <w:pPr>
              <w:pStyle w:val="NoSpacing"/>
            </w:pPr>
            <w:r w:rsidRPr="00BF0E9D">
              <w:t>As on 01-04-1</w:t>
            </w:r>
            <w:r w:rsidR="0098412F">
              <w:t>9</w:t>
            </w:r>
          </w:p>
        </w:tc>
        <w:tc>
          <w:tcPr>
            <w:tcW w:w="1057" w:type="dxa"/>
            <w:tcBorders>
              <w:top w:val="nil"/>
              <w:left w:val="nil"/>
              <w:bottom w:val="single" w:sz="4" w:space="0" w:color="auto"/>
              <w:right w:val="single" w:sz="4" w:space="0" w:color="auto"/>
            </w:tcBorders>
            <w:shd w:val="clear" w:color="auto" w:fill="auto"/>
            <w:noWrap/>
            <w:vAlign w:val="bottom"/>
          </w:tcPr>
          <w:p w:rsidR="009513BA" w:rsidRDefault="00A93296" w:rsidP="00942922">
            <w:pPr>
              <w:jc w:val="right"/>
              <w:rPr>
                <w:rFonts w:ascii="Arial" w:hAnsi="Arial" w:cs="Arial"/>
                <w:sz w:val="20"/>
                <w:szCs w:val="20"/>
              </w:rPr>
            </w:pPr>
            <w:r>
              <w:rPr>
                <w:rFonts w:ascii="Arial" w:hAnsi="Arial" w:cs="Arial"/>
                <w:sz w:val="20"/>
                <w:szCs w:val="20"/>
              </w:rPr>
              <w:t>3</w:t>
            </w:r>
            <w:r w:rsidR="008528BE">
              <w:rPr>
                <w:rFonts w:ascii="Arial" w:hAnsi="Arial" w:cs="Arial"/>
                <w:sz w:val="20"/>
                <w:szCs w:val="20"/>
              </w:rPr>
              <w:t>33</w:t>
            </w:r>
          </w:p>
        </w:tc>
        <w:tc>
          <w:tcPr>
            <w:tcW w:w="1526" w:type="dxa"/>
            <w:tcBorders>
              <w:top w:val="nil"/>
              <w:left w:val="nil"/>
              <w:bottom w:val="single" w:sz="4" w:space="0" w:color="auto"/>
              <w:right w:val="single" w:sz="4" w:space="0" w:color="auto"/>
            </w:tcBorders>
            <w:shd w:val="clear" w:color="auto" w:fill="auto"/>
            <w:noWrap/>
            <w:vAlign w:val="bottom"/>
          </w:tcPr>
          <w:p w:rsidR="009513BA" w:rsidRDefault="00AF379A">
            <w:pPr>
              <w:jc w:val="right"/>
              <w:rPr>
                <w:rFonts w:ascii="Arial" w:hAnsi="Arial" w:cs="Arial"/>
                <w:sz w:val="20"/>
                <w:szCs w:val="20"/>
              </w:rPr>
            </w:pPr>
            <w:r>
              <w:rPr>
                <w:rFonts w:ascii="Arial" w:hAnsi="Arial" w:cs="Arial"/>
                <w:sz w:val="20"/>
                <w:szCs w:val="20"/>
              </w:rPr>
              <w:t>8</w:t>
            </w:r>
            <w:r w:rsidR="008528BE">
              <w:rPr>
                <w:rFonts w:ascii="Arial" w:hAnsi="Arial" w:cs="Arial"/>
                <w:sz w:val="20"/>
                <w:szCs w:val="20"/>
              </w:rPr>
              <w:t>9</w:t>
            </w:r>
          </w:p>
        </w:tc>
        <w:tc>
          <w:tcPr>
            <w:tcW w:w="1134" w:type="dxa"/>
            <w:tcBorders>
              <w:top w:val="nil"/>
              <w:left w:val="nil"/>
              <w:bottom w:val="single" w:sz="4" w:space="0" w:color="auto"/>
              <w:right w:val="single" w:sz="4" w:space="0" w:color="auto"/>
            </w:tcBorders>
            <w:shd w:val="clear" w:color="auto" w:fill="auto"/>
            <w:noWrap/>
            <w:vAlign w:val="bottom"/>
          </w:tcPr>
          <w:p w:rsidR="009513BA" w:rsidRDefault="00A93296" w:rsidP="00A93296">
            <w:pPr>
              <w:jc w:val="right"/>
              <w:rPr>
                <w:rFonts w:ascii="Arial" w:hAnsi="Arial" w:cs="Arial"/>
                <w:sz w:val="20"/>
                <w:szCs w:val="20"/>
              </w:rPr>
            </w:pPr>
            <w:r>
              <w:rPr>
                <w:rFonts w:ascii="Arial" w:hAnsi="Arial" w:cs="Arial"/>
                <w:sz w:val="20"/>
                <w:szCs w:val="20"/>
              </w:rPr>
              <w:t>1</w:t>
            </w:r>
            <w:r w:rsidR="008528BE">
              <w:rPr>
                <w:rFonts w:ascii="Arial" w:hAnsi="Arial" w:cs="Arial"/>
                <w:sz w:val="20"/>
                <w:szCs w:val="20"/>
              </w:rPr>
              <w:t>692</w:t>
            </w:r>
          </w:p>
        </w:tc>
        <w:tc>
          <w:tcPr>
            <w:tcW w:w="1559" w:type="dxa"/>
            <w:tcBorders>
              <w:top w:val="nil"/>
              <w:left w:val="nil"/>
              <w:bottom w:val="single" w:sz="4" w:space="0" w:color="auto"/>
              <w:right w:val="single" w:sz="4" w:space="0" w:color="auto"/>
            </w:tcBorders>
            <w:shd w:val="clear" w:color="auto" w:fill="auto"/>
            <w:noWrap/>
            <w:vAlign w:val="bottom"/>
          </w:tcPr>
          <w:p w:rsidR="009513BA" w:rsidRDefault="00A93296" w:rsidP="00942922">
            <w:pPr>
              <w:jc w:val="right"/>
              <w:rPr>
                <w:rFonts w:ascii="Arial" w:hAnsi="Arial" w:cs="Arial"/>
                <w:sz w:val="20"/>
                <w:szCs w:val="20"/>
              </w:rPr>
            </w:pPr>
            <w:r>
              <w:rPr>
                <w:rFonts w:ascii="Arial" w:hAnsi="Arial" w:cs="Arial"/>
                <w:sz w:val="20"/>
                <w:szCs w:val="20"/>
              </w:rPr>
              <w:t>3</w:t>
            </w:r>
            <w:r w:rsidR="008528BE">
              <w:rPr>
                <w:rFonts w:ascii="Arial" w:hAnsi="Arial" w:cs="Arial"/>
                <w:sz w:val="20"/>
                <w:szCs w:val="20"/>
              </w:rPr>
              <w:t>39</w:t>
            </w:r>
          </w:p>
        </w:tc>
        <w:tc>
          <w:tcPr>
            <w:tcW w:w="993" w:type="dxa"/>
            <w:tcBorders>
              <w:top w:val="nil"/>
              <w:left w:val="nil"/>
              <w:bottom w:val="single" w:sz="4" w:space="0" w:color="auto"/>
              <w:right w:val="single" w:sz="4" w:space="0" w:color="auto"/>
            </w:tcBorders>
            <w:shd w:val="clear" w:color="auto" w:fill="auto"/>
            <w:noWrap/>
            <w:vAlign w:val="bottom"/>
          </w:tcPr>
          <w:p w:rsidR="009513BA" w:rsidRDefault="00BC6107" w:rsidP="00942922">
            <w:pPr>
              <w:jc w:val="right"/>
              <w:rPr>
                <w:rFonts w:ascii="Arial" w:hAnsi="Arial" w:cs="Arial"/>
                <w:sz w:val="20"/>
                <w:szCs w:val="20"/>
              </w:rPr>
            </w:pPr>
            <w:r>
              <w:rPr>
                <w:rFonts w:ascii="Arial" w:hAnsi="Arial" w:cs="Arial"/>
                <w:sz w:val="20"/>
                <w:szCs w:val="20"/>
              </w:rPr>
              <w:t>2</w:t>
            </w:r>
            <w:r w:rsidR="002679B5">
              <w:rPr>
                <w:rFonts w:ascii="Arial" w:hAnsi="Arial" w:cs="Arial"/>
                <w:sz w:val="20"/>
                <w:szCs w:val="20"/>
              </w:rPr>
              <w:t>453</w:t>
            </w:r>
          </w:p>
        </w:tc>
      </w:tr>
      <w:tr w:rsidR="007C2396"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BF0E9D" w:rsidRDefault="007C2396" w:rsidP="00942922">
            <w:pPr>
              <w:pStyle w:val="NoSpacing"/>
            </w:pPr>
            <w:r w:rsidRPr="00BF0E9D">
              <w:t>Recruitment during 1</w:t>
            </w:r>
            <w:r w:rsidR="0098412F">
              <w:t>9</w:t>
            </w:r>
            <w:r w:rsidRPr="00BF0E9D">
              <w:t>-</w:t>
            </w:r>
            <w:r w:rsidR="0098412F">
              <w:t>20</w:t>
            </w:r>
          </w:p>
        </w:tc>
        <w:tc>
          <w:tcPr>
            <w:tcW w:w="1057" w:type="dxa"/>
            <w:tcBorders>
              <w:top w:val="nil"/>
              <w:left w:val="nil"/>
              <w:bottom w:val="single" w:sz="4" w:space="0" w:color="auto"/>
              <w:right w:val="single" w:sz="4" w:space="0" w:color="auto"/>
            </w:tcBorders>
            <w:shd w:val="clear" w:color="auto" w:fill="auto"/>
            <w:noWrap/>
            <w:vAlign w:val="bottom"/>
          </w:tcPr>
          <w:p w:rsidR="007C2396" w:rsidRDefault="00BC6107" w:rsidP="00942922">
            <w:pPr>
              <w:jc w:val="right"/>
              <w:rPr>
                <w:rFonts w:ascii="Arial" w:hAnsi="Arial" w:cs="Arial"/>
                <w:sz w:val="20"/>
                <w:szCs w:val="20"/>
              </w:rPr>
            </w:pPr>
            <w:r>
              <w:rPr>
                <w:rFonts w:ascii="Arial" w:hAnsi="Arial" w:cs="Arial"/>
                <w:sz w:val="20"/>
                <w:szCs w:val="20"/>
              </w:rPr>
              <w:t>0</w:t>
            </w:r>
          </w:p>
        </w:tc>
        <w:tc>
          <w:tcPr>
            <w:tcW w:w="1526" w:type="dxa"/>
            <w:tcBorders>
              <w:top w:val="nil"/>
              <w:left w:val="nil"/>
              <w:bottom w:val="single" w:sz="4" w:space="0" w:color="auto"/>
              <w:right w:val="single" w:sz="4" w:space="0" w:color="auto"/>
            </w:tcBorders>
            <w:shd w:val="clear" w:color="auto" w:fill="auto"/>
            <w:noWrap/>
            <w:vAlign w:val="bottom"/>
          </w:tcPr>
          <w:p w:rsidR="007C2396" w:rsidRDefault="00BC6107" w:rsidP="00942922">
            <w:pPr>
              <w:jc w:val="right"/>
              <w:rPr>
                <w:rFonts w:ascii="Arial" w:hAnsi="Arial" w:cs="Arial"/>
                <w:sz w:val="20"/>
                <w:szCs w:val="20"/>
              </w:rPr>
            </w:pPr>
            <w:r>
              <w:rPr>
                <w:rFonts w:ascii="Arial" w:hAnsi="Arial" w:cs="Arial"/>
                <w:sz w:val="20"/>
                <w:szCs w:val="20"/>
              </w:rPr>
              <w:t>0</w:t>
            </w:r>
          </w:p>
        </w:tc>
        <w:tc>
          <w:tcPr>
            <w:tcW w:w="1134" w:type="dxa"/>
            <w:tcBorders>
              <w:top w:val="nil"/>
              <w:left w:val="nil"/>
              <w:bottom w:val="single" w:sz="4" w:space="0" w:color="auto"/>
              <w:right w:val="single" w:sz="4" w:space="0" w:color="auto"/>
            </w:tcBorders>
            <w:shd w:val="clear" w:color="auto" w:fill="auto"/>
            <w:noWrap/>
            <w:vAlign w:val="bottom"/>
          </w:tcPr>
          <w:p w:rsidR="007C2396" w:rsidRDefault="00BC6107" w:rsidP="00942922">
            <w:pPr>
              <w:jc w:val="right"/>
              <w:rPr>
                <w:rFonts w:ascii="Arial" w:hAnsi="Arial" w:cs="Arial"/>
                <w:sz w:val="20"/>
                <w:szCs w:val="20"/>
              </w:rPr>
            </w:pPr>
            <w:r>
              <w:rPr>
                <w:rFonts w:ascii="Arial" w:hAnsi="Arial" w:cs="Arial"/>
                <w:sz w:val="20"/>
                <w:szCs w:val="20"/>
              </w:rPr>
              <w:t>0</w:t>
            </w:r>
          </w:p>
        </w:tc>
        <w:tc>
          <w:tcPr>
            <w:tcW w:w="1559" w:type="dxa"/>
            <w:tcBorders>
              <w:top w:val="nil"/>
              <w:left w:val="nil"/>
              <w:bottom w:val="single" w:sz="4" w:space="0" w:color="auto"/>
              <w:right w:val="single" w:sz="4" w:space="0" w:color="auto"/>
            </w:tcBorders>
            <w:shd w:val="clear" w:color="auto" w:fill="auto"/>
            <w:noWrap/>
            <w:vAlign w:val="bottom"/>
          </w:tcPr>
          <w:p w:rsidR="007C2396" w:rsidRDefault="00BC6107" w:rsidP="00942922">
            <w:pPr>
              <w:jc w:val="right"/>
              <w:rPr>
                <w:rFonts w:ascii="Arial" w:hAnsi="Arial" w:cs="Arial"/>
                <w:sz w:val="20"/>
                <w:szCs w:val="20"/>
              </w:rPr>
            </w:pPr>
            <w:r>
              <w:rPr>
                <w:rFonts w:ascii="Arial" w:hAnsi="Arial" w:cs="Arial"/>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7C2396" w:rsidRDefault="00BC6107" w:rsidP="00942922">
            <w:pPr>
              <w:jc w:val="right"/>
              <w:rPr>
                <w:rFonts w:ascii="Arial" w:hAnsi="Arial" w:cs="Arial"/>
                <w:sz w:val="20"/>
                <w:szCs w:val="20"/>
              </w:rPr>
            </w:pPr>
            <w:r>
              <w:rPr>
                <w:rFonts w:ascii="Arial" w:hAnsi="Arial" w:cs="Arial"/>
                <w:sz w:val="20"/>
                <w:szCs w:val="20"/>
              </w:rPr>
              <w:t>0</w:t>
            </w:r>
          </w:p>
        </w:tc>
      </w:tr>
      <w:tr w:rsidR="007C2396"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BF0E9D" w:rsidRDefault="007C2396" w:rsidP="00942922">
            <w:pPr>
              <w:pStyle w:val="NoSpacing"/>
            </w:pPr>
            <w:r w:rsidRPr="00BF0E9D">
              <w:t>Retirement during 1</w:t>
            </w:r>
            <w:r w:rsidR="0098412F">
              <w:t>9-20</w:t>
            </w:r>
          </w:p>
        </w:tc>
        <w:tc>
          <w:tcPr>
            <w:tcW w:w="1057" w:type="dxa"/>
            <w:tcBorders>
              <w:top w:val="nil"/>
              <w:left w:val="nil"/>
              <w:bottom w:val="single" w:sz="4" w:space="0" w:color="auto"/>
              <w:right w:val="single" w:sz="4" w:space="0" w:color="auto"/>
            </w:tcBorders>
            <w:shd w:val="clear" w:color="auto" w:fill="auto"/>
            <w:noWrap/>
            <w:vAlign w:val="bottom"/>
          </w:tcPr>
          <w:p w:rsidR="007C2396" w:rsidRDefault="002679B5" w:rsidP="00942922">
            <w:pPr>
              <w:jc w:val="right"/>
              <w:rPr>
                <w:rFonts w:ascii="Arial" w:hAnsi="Arial" w:cs="Arial"/>
                <w:sz w:val="20"/>
                <w:szCs w:val="20"/>
              </w:rPr>
            </w:pPr>
            <w:r>
              <w:rPr>
                <w:rFonts w:ascii="Arial" w:hAnsi="Arial" w:cs="Arial"/>
                <w:sz w:val="20"/>
                <w:szCs w:val="20"/>
              </w:rPr>
              <w:t>8</w:t>
            </w:r>
          </w:p>
        </w:tc>
        <w:tc>
          <w:tcPr>
            <w:tcW w:w="1526" w:type="dxa"/>
            <w:tcBorders>
              <w:top w:val="nil"/>
              <w:left w:val="nil"/>
              <w:bottom w:val="single" w:sz="4" w:space="0" w:color="auto"/>
              <w:right w:val="single" w:sz="4" w:space="0" w:color="auto"/>
            </w:tcBorders>
            <w:shd w:val="clear" w:color="auto" w:fill="auto"/>
            <w:noWrap/>
            <w:vAlign w:val="bottom"/>
          </w:tcPr>
          <w:p w:rsidR="007C2396" w:rsidRDefault="002679B5" w:rsidP="002679B5">
            <w:pPr>
              <w:jc w:val="right"/>
              <w:rPr>
                <w:rFonts w:ascii="Arial" w:hAnsi="Arial" w:cs="Arial"/>
                <w:sz w:val="20"/>
                <w:szCs w:val="20"/>
              </w:rPr>
            </w:pPr>
            <w:r>
              <w:rPr>
                <w:rFonts w:ascii="Arial" w:hAnsi="Arial" w:cs="Arial"/>
                <w:sz w:val="20"/>
                <w:szCs w:val="20"/>
              </w:rPr>
              <w:t>0</w:t>
            </w:r>
          </w:p>
        </w:tc>
        <w:tc>
          <w:tcPr>
            <w:tcW w:w="1134" w:type="dxa"/>
            <w:tcBorders>
              <w:top w:val="nil"/>
              <w:left w:val="nil"/>
              <w:bottom w:val="single" w:sz="4" w:space="0" w:color="auto"/>
              <w:right w:val="single" w:sz="4" w:space="0" w:color="auto"/>
            </w:tcBorders>
            <w:shd w:val="clear" w:color="auto" w:fill="auto"/>
            <w:noWrap/>
            <w:vAlign w:val="bottom"/>
          </w:tcPr>
          <w:p w:rsidR="007C2396" w:rsidRDefault="002679B5" w:rsidP="002679B5">
            <w:pPr>
              <w:jc w:val="right"/>
              <w:rPr>
                <w:rFonts w:ascii="Arial" w:hAnsi="Arial" w:cs="Arial"/>
                <w:sz w:val="20"/>
                <w:szCs w:val="20"/>
              </w:rPr>
            </w:pPr>
            <w:r>
              <w:rPr>
                <w:rFonts w:ascii="Arial" w:hAnsi="Arial" w:cs="Arial"/>
                <w:sz w:val="20"/>
                <w:szCs w:val="20"/>
              </w:rPr>
              <w:t>119</w:t>
            </w:r>
          </w:p>
        </w:tc>
        <w:tc>
          <w:tcPr>
            <w:tcW w:w="1559" w:type="dxa"/>
            <w:tcBorders>
              <w:top w:val="nil"/>
              <w:left w:val="nil"/>
              <w:bottom w:val="single" w:sz="4" w:space="0" w:color="auto"/>
              <w:right w:val="single" w:sz="4" w:space="0" w:color="auto"/>
            </w:tcBorders>
            <w:shd w:val="clear" w:color="auto" w:fill="auto"/>
            <w:noWrap/>
            <w:vAlign w:val="bottom"/>
          </w:tcPr>
          <w:p w:rsidR="007C2396" w:rsidRDefault="00FB02D8" w:rsidP="00942922">
            <w:pPr>
              <w:jc w:val="right"/>
              <w:rPr>
                <w:rFonts w:ascii="Arial" w:hAnsi="Arial" w:cs="Arial"/>
                <w:sz w:val="20"/>
                <w:szCs w:val="20"/>
              </w:rPr>
            </w:pPr>
            <w:r>
              <w:rPr>
                <w:rFonts w:ascii="Arial" w:hAnsi="Arial" w:cs="Arial"/>
                <w:sz w:val="20"/>
                <w:szCs w:val="20"/>
              </w:rPr>
              <w:t>1</w:t>
            </w:r>
            <w:r w:rsidR="002679B5">
              <w:rPr>
                <w:rFonts w:ascii="Arial" w:hAnsi="Arial" w:cs="Arial"/>
                <w:sz w:val="20"/>
                <w:szCs w:val="20"/>
              </w:rPr>
              <w:t>7</w:t>
            </w:r>
          </w:p>
        </w:tc>
        <w:tc>
          <w:tcPr>
            <w:tcW w:w="993" w:type="dxa"/>
            <w:tcBorders>
              <w:top w:val="nil"/>
              <w:left w:val="nil"/>
              <w:bottom w:val="single" w:sz="4" w:space="0" w:color="auto"/>
              <w:right w:val="single" w:sz="4" w:space="0" w:color="auto"/>
            </w:tcBorders>
            <w:shd w:val="clear" w:color="auto" w:fill="auto"/>
            <w:noWrap/>
            <w:vAlign w:val="bottom"/>
          </w:tcPr>
          <w:p w:rsidR="007C2396" w:rsidRDefault="00FB02D8" w:rsidP="00942922">
            <w:pPr>
              <w:jc w:val="right"/>
              <w:rPr>
                <w:rFonts w:ascii="Arial" w:hAnsi="Arial" w:cs="Arial"/>
                <w:sz w:val="20"/>
                <w:szCs w:val="20"/>
              </w:rPr>
            </w:pPr>
            <w:r>
              <w:rPr>
                <w:rFonts w:ascii="Arial" w:hAnsi="Arial" w:cs="Arial"/>
                <w:sz w:val="20"/>
                <w:szCs w:val="20"/>
              </w:rPr>
              <w:t>1</w:t>
            </w:r>
            <w:r w:rsidR="002679B5">
              <w:rPr>
                <w:rFonts w:ascii="Arial" w:hAnsi="Arial" w:cs="Arial"/>
                <w:sz w:val="20"/>
                <w:szCs w:val="20"/>
              </w:rPr>
              <w:t>44</w:t>
            </w:r>
          </w:p>
        </w:tc>
      </w:tr>
      <w:tr w:rsidR="007C2396"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0F3C65" w:rsidRDefault="007C2396" w:rsidP="00942922">
            <w:pPr>
              <w:pStyle w:val="NoSpacing"/>
              <w:rPr>
                <w:b/>
              </w:rPr>
            </w:pPr>
            <w:r w:rsidRPr="000F3C65">
              <w:rPr>
                <w:b/>
              </w:rPr>
              <w:t>As on 01-04-</w:t>
            </w:r>
            <w:r w:rsidR="0098412F">
              <w:rPr>
                <w:b/>
              </w:rPr>
              <w:t>2020</w:t>
            </w:r>
          </w:p>
        </w:tc>
        <w:tc>
          <w:tcPr>
            <w:tcW w:w="1057" w:type="dxa"/>
            <w:tcBorders>
              <w:top w:val="nil"/>
              <w:left w:val="nil"/>
              <w:bottom w:val="single" w:sz="4" w:space="0" w:color="auto"/>
              <w:right w:val="single" w:sz="4" w:space="0" w:color="auto"/>
            </w:tcBorders>
            <w:shd w:val="clear" w:color="auto" w:fill="auto"/>
            <w:noWrap/>
            <w:vAlign w:val="bottom"/>
          </w:tcPr>
          <w:p w:rsidR="007C2396" w:rsidRPr="007C2396" w:rsidRDefault="00BC6107" w:rsidP="00942922">
            <w:pPr>
              <w:jc w:val="right"/>
              <w:rPr>
                <w:rFonts w:ascii="Arial" w:hAnsi="Arial" w:cs="Arial"/>
                <w:b/>
                <w:sz w:val="20"/>
                <w:szCs w:val="20"/>
              </w:rPr>
            </w:pPr>
            <w:r>
              <w:rPr>
                <w:rFonts w:ascii="Arial" w:hAnsi="Arial" w:cs="Arial"/>
                <w:b/>
                <w:sz w:val="20"/>
                <w:szCs w:val="20"/>
              </w:rPr>
              <w:t>3</w:t>
            </w:r>
            <w:r w:rsidR="002679B5">
              <w:rPr>
                <w:rFonts w:ascii="Arial" w:hAnsi="Arial" w:cs="Arial"/>
                <w:b/>
                <w:sz w:val="20"/>
                <w:szCs w:val="20"/>
              </w:rPr>
              <w:t>25</w:t>
            </w:r>
          </w:p>
        </w:tc>
        <w:tc>
          <w:tcPr>
            <w:tcW w:w="1526" w:type="dxa"/>
            <w:tcBorders>
              <w:top w:val="nil"/>
              <w:left w:val="nil"/>
              <w:bottom w:val="single" w:sz="4" w:space="0" w:color="auto"/>
              <w:right w:val="single" w:sz="4" w:space="0" w:color="auto"/>
            </w:tcBorders>
            <w:shd w:val="clear" w:color="auto" w:fill="auto"/>
            <w:noWrap/>
            <w:vAlign w:val="bottom"/>
          </w:tcPr>
          <w:p w:rsidR="007C2396" w:rsidRPr="007C2396" w:rsidRDefault="00BC6107" w:rsidP="00942922">
            <w:pPr>
              <w:jc w:val="right"/>
              <w:rPr>
                <w:rFonts w:ascii="Arial" w:hAnsi="Arial" w:cs="Arial"/>
                <w:b/>
                <w:sz w:val="20"/>
                <w:szCs w:val="20"/>
              </w:rPr>
            </w:pPr>
            <w:r>
              <w:rPr>
                <w:rFonts w:ascii="Arial" w:hAnsi="Arial" w:cs="Arial"/>
                <w:b/>
                <w:sz w:val="20"/>
                <w:szCs w:val="20"/>
              </w:rPr>
              <w:t>8</w:t>
            </w:r>
            <w:r w:rsidR="002679B5">
              <w:rPr>
                <w:rFonts w:ascii="Arial" w:hAnsi="Arial" w:cs="Arial"/>
                <w:b/>
                <w:sz w:val="20"/>
                <w:szCs w:val="20"/>
              </w:rPr>
              <w:t>9</w:t>
            </w:r>
          </w:p>
        </w:tc>
        <w:tc>
          <w:tcPr>
            <w:tcW w:w="1134" w:type="dxa"/>
            <w:tcBorders>
              <w:top w:val="nil"/>
              <w:left w:val="nil"/>
              <w:bottom w:val="single" w:sz="4" w:space="0" w:color="auto"/>
              <w:right w:val="single" w:sz="4" w:space="0" w:color="auto"/>
            </w:tcBorders>
            <w:shd w:val="clear" w:color="auto" w:fill="auto"/>
            <w:noWrap/>
            <w:vAlign w:val="bottom"/>
          </w:tcPr>
          <w:p w:rsidR="007C2396" w:rsidRPr="007C2396" w:rsidRDefault="002679B5" w:rsidP="00942922">
            <w:pPr>
              <w:jc w:val="right"/>
              <w:rPr>
                <w:rFonts w:ascii="Arial" w:hAnsi="Arial" w:cs="Arial"/>
                <w:b/>
                <w:sz w:val="20"/>
                <w:szCs w:val="20"/>
              </w:rPr>
            </w:pPr>
            <w:r>
              <w:rPr>
                <w:rFonts w:ascii="Arial" w:hAnsi="Arial" w:cs="Arial"/>
                <w:b/>
                <w:sz w:val="20"/>
                <w:szCs w:val="20"/>
              </w:rPr>
              <w:t>1573</w:t>
            </w:r>
          </w:p>
        </w:tc>
        <w:tc>
          <w:tcPr>
            <w:tcW w:w="1559" w:type="dxa"/>
            <w:tcBorders>
              <w:top w:val="nil"/>
              <w:left w:val="nil"/>
              <w:bottom w:val="single" w:sz="4" w:space="0" w:color="auto"/>
              <w:right w:val="single" w:sz="4" w:space="0" w:color="auto"/>
            </w:tcBorders>
            <w:shd w:val="clear" w:color="auto" w:fill="auto"/>
            <w:noWrap/>
            <w:vAlign w:val="bottom"/>
          </w:tcPr>
          <w:p w:rsidR="007C2396" w:rsidRPr="007C2396" w:rsidRDefault="00FB02D8" w:rsidP="00942922">
            <w:pPr>
              <w:jc w:val="right"/>
              <w:rPr>
                <w:rFonts w:ascii="Arial" w:hAnsi="Arial" w:cs="Arial"/>
                <w:b/>
                <w:sz w:val="20"/>
                <w:szCs w:val="20"/>
              </w:rPr>
            </w:pPr>
            <w:r>
              <w:rPr>
                <w:rFonts w:ascii="Arial" w:hAnsi="Arial" w:cs="Arial"/>
                <w:b/>
                <w:sz w:val="20"/>
                <w:szCs w:val="20"/>
              </w:rPr>
              <w:t>3</w:t>
            </w:r>
            <w:r w:rsidR="002679B5">
              <w:rPr>
                <w:rFonts w:ascii="Arial" w:hAnsi="Arial" w:cs="Arial"/>
                <w:b/>
                <w:sz w:val="20"/>
                <w:szCs w:val="20"/>
              </w:rPr>
              <w:t>22</w:t>
            </w:r>
          </w:p>
        </w:tc>
        <w:tc>
          <w:tcPr>
            <w:tcW w:w="993" w:type="dxa"/>
            <w:tcBorders>
              <w:top w:val="nil"/>
              <w:left w:val="nil"/>
              <w:bottom w:val="single" w:sz="4" w:space="0" w:color="auto"/>
              <w:right w:val="single" w:sz="4" w:space="0" w:color="auto"/>
            </w:tcBorders>
            <w:shd w:val="clear" w:color="auto" w:fill="auto"/>
            <w:noWrap/>
            <w:vAlign w:val="bottom"/>
          </w:tcPr>
          <w:p w:rsidR="007C2396" w:rsidRPr="007C2396" w:rsidRDefault="00FB02D8" w:rsidP="00942922">
            <w:pPr>
              <w:jc w:val="right"/>
              <w:rPr>
                <w:rFonts w:ascii="Arial" w:hAnsi="Arial" w:cs="Arial"/>
                <w:b/>
                <w:sz w:val="20"/>
                <w:szCs w:val="20"/>
              </w:rPr>
            </w:pPr>
            <w:r>
              <w:rPr>
                <w:rFonts w:ascii="Arial" w:hAnsi="Arial" w:cs="Arial"/>
                <w:b/>
                <w:sz w:val="20"/>
                <w:szCs w:val="20"/>
              </w:rPr>
              <w:t>2</w:t>
            </w:r>
            <w:r w:rsidR="002679B5">
              <w:rPr>
                <w:rFonts w:ascii="Arial" w:hAnsi="Arial" w:cs="Arial"/>
                <w:b/>
                <w:sz w:val="20"/>
                <w:szCs w:val="20"/>
              </w:rPr>
              <w:t>309</w:t>
            </w:r>
          </w:p>
        </w:tc>
      </w:tr>
      <w:tr w:rsidR="004276A0"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4276A0" w:rsidRPr="00BF0E9D" w:rsidRDefault="004276A0" w:rsidP="000F3C65">
            <w:pPr>
              <w:pStyle w:val="NoSpacing"/>
            </w:pPr>
            <w:r w:rsidRPr="00BF0E9D">
              <w:t> </w:t>
            </w:r>
          </w:p>
        </w:tc>
        <w:tc>
          <w:tcPr>
            <w:tcW w:w="1057" w:type="dxa"/>
            <w:tcBorders>
              <w:top w:val="nil"/>
              <w:left w:val="nil"/>
              <w:bottom w:val="single" w:sz="4" w:space="0" w:color="auto"/>
              <w:right w:val="single" w:sz="4" w:space="0" w:color="auto"/>
            </w:tcBorders>
            <w:shd w:val="clear" w:color="auto" w:fill="auto"/>
            <w:noWrap/>
            <w:vAlign w:val="bottom"/>
          </w:tcPr>
          <w:p w:rsidR="004276A0" w:rsidRPr="00BF0E9D" w:rsidRDefault="004276A0" w:rsidP="000F3C65">
            <w:pPr>
              <w:pStyle w:val="NoSpacing"/>
              <w:jc w:val="right"/>
            </w:pPr>
          </w:p>
        </w:tc>
        <w:tc>
          <w:tcPr>
            <w:tcW w:w="1526" w:type="dxa"/>
            <w:tcBorders>
              <w:top w:val="nil"/>
              <w:left w:val="nil"/>
              <w:bottom w:val="single" w:sz="4" w:space="0" w:color="auto"/>
              <w:right w:val="single" w:sz="4" w:space="0" w:color="auto"/>
            </w:tcBorders>
            <w:shd w:val="clear" w:color="auto" w:fill="auto"/>
            <w:noWrap/>
            <w:vAlign w:val="bottom"/>
          </w:tcPr>
          <w:p w:rsidR="004276A0" w:rsidRPr="00BF0E9D" w:rsidRDefault="004276A0" w:rsidP="000F3C65">
            <w:pPr>
              <w:pStyle w:val="NoSpacing"/>
              <w:jc w:val="right"/>
            </w:pPr>
          </w:p>
        </w:tc>
        <w:tc>
          <w:tcPr>
            <w:tcW w:w="1134" w:type="dxa"/>
            <w:tcBorders>
              <w:top w:val="nil"/>
              <w:left w:val="nil"/>
              <w:bottom w:val="single" w:sz="4" w:space="0" w:color="auto"/>
              <w:right w:val="single" w:sz="4" w:space="0" w:color="auto"/>
            </w:tcBorders>
            <w:shd w:val="clear" w:color="auto" w:fill="auto"/>
            <w:noWrap/>
            <w:vAlign w:val="bottom"/>
          </w:tcPr>
          <w:p w:rsidR="004276A0" w:rsidRPr="00BF0E9D" w:rsidRDefault="004276A0" w:rsidP="000F3C65">
            <w:pPr>
              <w:pStyle w:val="NoSpacing"/>
              <w:jc w:val="right"/>
            </w:pPr>
          </w:p>
        </w:tc>
        <w:tc>
          <w:tcPr>
            <w:tcW w:w="1559" w:type="dxa"/>
            <w:tcBorders>
              <w:top w:val="nil"/>
              <w:left w:val="nil"/>
              <w:bottom w:val="single" w:sz="4" w:space="0" w:color="auto"/>
              <w:right w:val="single" w:sz="4" w:space="0" w:color="auto"/>
            </w:tcBorders>
            <w:shd w:val="clear" w:color="auto" w:fill="auto"/>
            <w:noWrap/>
            <w:vAlign w:val="bottom"/>
          </w:tcPr>
          <w:p w:rsidR="004276A0" w:rsidRPr="00BF0E9D" w:rsidRDefault="004276A0" w:rsidP="000F3C65">
            <w:pPr>
              <w:pStyle w:val="NoSpacing"/>
              <w:jc w:val="right"/>
            </w:pPr>
          </w:p>
        </w:tc>
        <w:tc>
          <w:tcPr>
            <w:tcW w:w="993" w:type="dxa"/>
            <w:tcBorders>
              <w:top w:val="nil"/>
              <w:left w:val="nil"/>
              <w:bottom w:val="single" w:sz="4" w:space="0" w:color="auto"/>
              <w:right w:val="single" w:sz="4" w:space="0" w:color="auto"/>
            </w:tcBorders>
            <w:shd w:val="clear" w:color="auto" w:fill="auto"/>
            <w:noWrap/>
            <w:vAlign w:val="bottom"/>
          </w:tcPr>
          <w:p w:rsidR="004276A0" w:rsidRPr="00BF0E9D" w:rsidRDefault="004276A0" w:rsidP="000F3C65">
            <w:pPr>
              <w:pStyle w:val="NoSpacing"/>
              <w:jc w:val="right"/>
            </w:pPr>
          </w:p>
        </w:tc>
      </w:tr>
      <w:tr w:rsidR="007C2396"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BF0E9D" w:rsidRDefault="0098412F" w:rsidP="00584332">
            <w:pPr>
              <w:pStyle w:val="NoSpacing"/>
            </w:pPr>
            <w:r>
              <w:t>Recruitment during 20</w:t>
            </w:r>
            <w:r w:rsidR="007C2396" w:rsidRPr="00BF0E9D">
              <w:t>-</w:t>
            </w:r>
            <w:r w:rsidR="00674A64">
              <w:t>2</w:t>
            </w:r>
            <w:r>
              <w:t>1</w:t>
            </w:r>
          </w:p>
        </w:tc>
        <w:tc>
          <w:tcPr>
            <w:tcW w:w="1057" w:type="dxa"/>
            <w:tcBorders>
              <w:top w:val="nil"/>
              <w:left w:val="nil"/>
              <w:bottom w:val="single" w:sz="4" w:space="0" w:color="auto"/>
              <w:right w:val="single" w:sz="4" w:space="0" w:color="auto"/>
            </w:tcBorders>
            <w:shd w:val="clear" w:color="auto" w:fill="auto"/>
            <w:noWrap/>
            <w:vAlign w:val="bottom"/>
          </w:tcPr>
          <w:p w:rsidR="007C2396" w:rsidRDefault="00C47155" w:rsidP="00C47155">
            <w:pPr>
              <w:jc w:val="right"/>
              <w:rPr>
                <w:rFonts w:ascii="Arial" w:hAnsi="Arial" w:cs="Arial"/>
                <w:sz w:val="20"/>
                <w:szCs w:val="20"/>
              </w:rPr>
            </w:pPr>
            <w:r>
              <w:rPr>
                <w:rFonts w:ascii="Arial" w:hAnsi="Arial" w:cs="Arial"/>
                <w:sz w:val="20"/>
                <w:szCs w:val="20"/>
              </w:rPr>
              <w:t>0</w:t>
            </w:r>
          </w:p>
        </w:tc>
        <w:tc>
          <w:tcPr>
            <w:tcW w:w="1526" w:type="dxa"/>
            <w:tcBorders>
              <w:top w:val="nil"/>
              <w:left w:val="nil"/>
              <w:bottom w:val="single" w:sz="4" w:space="0" w:color="auto"/>
              <w:right w:val="single" w:sz="4" w:space="0" w:color="auto"/>
            </w:tcBorders>
            <w:shd w:val="clear" w:color="auto" w:fill="auto"/>
            <w:noWrap/>
            <w:vAlign w:val="bottom"/>
          </w:tcPr>
          <w:p w:rsidR="007C2396" w:rsidRDefault="00C47155" w:rsidP="00584332">
            <w:pPr>
              <w:jc w:val="right"/>
              <w:rPr>
                <w:rFonts w:ascii="Arial" w:hAnsi="Arial" w:cs="Arial"/>
                <w:sz w:val="20"/>
                <w:szCs w:val="20"/>
              </w:rPr>
            </w:pPr>
            <w:r>
              <w:rPr>
                <w:rFonts w:ascii="Arial" w:hAnsi="Arial" w:cs="Arial"/>
                <w:sz w:val="20"/>
                <w:szCs w:val="20"/>
              </w:rPr>
              <w:t>0</w:t>
            </w:r>
          </w:p>
        </w:tc>
        <w:tc>
          <w:tcPr>
            <w:tcW w:w="1134" w:type="dxa"/>
            <w:tcBorders>
              <w:top w:val="nil"/>
              <w:left w:val="nil"/>
              <w:bottom w:val="single" w:sz="4" w:space="0" w:color="auto"/>
              <w:right w:val="single" w:sz="4" w:space="0" w:color="auto"/>
            </w:tcBorders>
            <w:shd w:val="clear" w:color="auto" w:fill="auto"/>
            <w:noWrap/>
            <w:vAlign w:val="bottom"/>
          </w:tcPr>
          <w:p w:rsidR="007C2396" w:rsidRDefault="00C47155" w:rsidP="00584332">
            <w:pPr>
              <w:jc w:val="right"/>
              <w:rPr>
                <w:rFonts w:ascii="Arial" w:hAnsi="Arial" w:cs="Arial"/>
                <w:sz w:val="20"/>
                <w:szCs w:val="20"/>
              </w:rPr>
            </w:pPr>
            <w:r>
              <w:rPr>
                <w:rFonts w:ascii="Arial" w:hAnsi="Arial" w:cs="Arial"/>
                <w:sz w:val="20"/>
                <w:szCs w:val="20"/>
              </w:rPr>
              <w:t>0</w:t>
            </w:r>
          </w:p>
        </w:tc>
        <w:tc>
          <w:tcPr>
            <w:tcW w:w="1559" w:type="dxa"/>
            <w:tcBorders>
              <w:top w:val="nil"/>
              <w:left w:val="nil"/>
              <w:bottom w:val="single" w:sz="4" w:space="0" w:color="auto"/>
              <w:right w:val="single" w:sz="4" w:space="0" w:color="auto"/>
            </w:tcBorders>
            <w:shd w:val="clear" w:color="auto" w:fill="auto"/>
            <w:noWrap/>
            <w:vAlign w:val="bottom"/>
          </w:tcPr>
          <w:p w:rsidR="007C2396" w:rsidRDefault="00C47155" w:rsidP="00584332">
            <w:pPr>
              <w:jc w:val="right"/>
              <w:rPr>
                <w:rFonts w:ascii="Arial" w:hAnsi="Arial" w:cs="Arial"/>
                <w:sz w:val="20"/>
                <w:szCs w:val="20"/>
              </w:rPr>
            </w:pPr>
            <w:r>
              <w:rPr>
                <w:rFonts w:ascii="Arial" w:hAnsi="Arial" w:cs="Arial"/>
                <w:sz w:val="20"/>
                <w:szCs w:val="20"/>
              </w:rPr>
              <w:t>0</w:t>
            </w:r>
          </w:p>
        </w:tc>
        <w:tc>
          <w:tcPr>
            <w:tcW w:w="993" w:type="dxa"/>
            <w:tcBorders>
              <w:top w:val="nil"/>
              <w:left w:val="nil"/>
              <w:bottom w:val="single" w:sz="4" w:space="0" w:color="auto"/>
              <w:right w:val="single" w:sz="4" w:space="0" w:color="auto"/>
            </w:tcBorders>
            <w:shd w:val="clear" w:color="auto" w:fill="auto"/>
            <w:noWrap/>
            <w:vAlign w:val="bottom"/>
          </w:tcPr>
          <w:p w:rsidR="007C2396" w:rsidRDefault="00C47155">
            <w:pPr>
              <w:jc w:val="right"/>
              <w:rPr>
                <w:rFonts w:ascii="Arial" w:hAnsi="Arial" w:cs="Arial"/>
                <w:sz w:val="20"/>
                <w:szCs w:val="20"/>
              </w:rPr>
            </w:pPr>
            <w:r>
              <w:rPr>
                <w:rFonts w:ascii="Arial" w:hAnsi="Arial" w:cs="Arial"/>
                <w:sz w:val="20"/>
                <w:szCs w:val="20"/>
              </w:rPr>
              <w:t>0</w:t>
            </w:r>
          </w:p>
        </w:tc>
      </w:tr>
      <w:tr w:rsidR="007C2396"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7C2396" w:rsidRPr="00BF0E9D" w:rsidRDefault="007C2396" w:rsidP="00584332">
            <w:pPr>
              <w:pStyle w:val="NoSpacing"/>
            </w:pPr>
            <w:r w:rsidRPr="00BF0E9D">
              <w:t xml:space="preserve">Retirement during </w:t>
            </w:r>
            <w:r w:rsidR="0098412F">
              <w:t>20-21</w:t>
            </w:r>
          </w:p>
        </w:tc>
        <w:tc>
          <w:tcPr>
            <w:tcW w:w="1057" w:type="dxa"/>
            <w:tcBorders>
              <w:top w:val="nil"/>
              <w:left w:val="nil"/>
              <w:bottom w:val="single" w:sz="4" w:space="0" w:color="auto"/>
              <w:right w:val="single" w:sz="4" w:space="0" w:color="auto"/>
            </w:tcBorders>
            <w:shd w:val="clear" w:color="auto" w:fill="auto"/>
            <w:noWrap/>
            <w:vAlign w:val="bottom"/>
          </w:tcPr>
          <w:p w:rsidR="007C2396" w:rsidRDefault="00C47155" w:rsidP="00584332">
            <w:pPr>
              <w:jc w:val="right"/>
              <w:rPr>
                <w:rFonts w:ascii="Arial" w:hAnsi="Arial" w:cs="Arial"/>
                <w:sz w:val="20"/>
                <w:szCs w:val="20"/>
              </w:rPr>
            </w:pPr>
            <w:r>
              <w:rPr>
                <w:rFonts w:ascii="Arial" w:hAnsi="Arial" w:cs="Arial"/>
                <w:sz w:val="20"/>
                <w:szCs w:val="20"/>
              </w:rPr>
              <w:t>7</w:t>
            </w:r>
          </w:p>
        </w:tc>
        <w:tc>
          <w:tcPr>
            <w:tcW w:w="1526" w:type="dxa"/>
            <w:tcBorders>
              <w:top w:val="nil"/>
              <w:left w:val="nil"/>
              <w:bottom w:val="single" w:sz="4" w:space="0" w:color="auto"/>
              <w:right w:val="single" w:sz="4" w:space="0" w:color="auto"/>
            </w:tcBorders>
            <w:shd w:val="clear" w:color="auto" w:fill="auto"/>
            <w:noWrap/>
            <w:vAlign w:val="bottom"/>
          </w:tcPr>
          <w:p w:rsidR="007C2396" w:rsidRDefault="00C47155">
            <w:pPr>
              <w:jc w:val="right"/>
              <w:rPr>
                <w:rFonts w:ascii="Arial" w:hAnsi="Arial" w:cs="Arial"/>
                <w:sz w:val="20"/>
                <w:szCs w:val="20"/>
              </w:rPr>
            </w:pPr>
            <w:r>
              <w:rPr>
                <w:rFonts w:ascii="Arial" w:hAnsi="Arial" w:cs="Arial"/>
                <w:sz w:val="20"/>
                <w:szCs w:val="20"/>
              </w:rPr>
              <w:t>1</w:t>
            </w:r>
          </w:p>
        </w:tc>
        <w:tc>
          <w:tcPr>
            <w:tcW w:w="1134" w:type="dxa"/>
            <w:tcBorders>
              <w:top w:val="nil"/>
              <w:left w:val="nil"/>
              <w:bottom w:val="single" w:sz="4" w:space="0" w:color="auto"/>
              <w:right w:val="single" w:sz="4" w:space="0" w:color="auto"/>
            </w:tcBorders>
            <w:shd w:val="clear" w:color="auto" w:fill="auto"/>
            <w:noWrap/>
            <w:vAlign w:val="bottom"/>
          </w:tcPr>
          <w:p w:rsidR="007C2396" w:rsidRDefault="00C47155" w:rsidP="00584332">
            <w:pPr>
              <w:jc w:val="right"/>
              <w:rPr>
                <w:rFonts w:ascii="Arial" w:hAnsi="Arial" w:cs="Arial"/>
                <w:sz w:val="20"/>
                <w:szCs w:val="20"/>
              </w:rPr>
            </w:pPr>
            <w:r>
              <w:rPr>
                <w:rFonts w:ascii="Arial" w:hAnsi="Arial" w:cs="Arial"/>
                <w:sz w:val="20"/>
                <w:szCs w:val="20"/>
              </w:rPr>
              <w:t>114</w:t>
            </w:r>
          </w:p>
        </w:tc>
        <w:tc>
          <w:tcPr>
            <w:tcW w:w="1559" w:type="dxa"/>
            <w:tcBorders>
              <w:top w:val="nil"/>
              <w:left w:val="nil"/>
              <w:bottom w:val="single" w:sz="4" w:space="0" w:color="auto"/>
              <w:right w:val="single" w:sz="4" w:space="0" w:color="auto"/>
            </w:tcBorders>
            <w:shd w:val="clear" w:color="auto" w:fill="auto"/>
            <w:noWrap/>
            <w:vAlign w:val="bottom"/>
          </w:tcPr>
          <w:p w:rsidR="007C2396" w:rsidRDefault="00C47155" w:rsidP="00584332">
            <w:pPr>
              <w:jc w:val="right"/>
              <w:rPr>
                <w:rFonts w:ascii="Arial" w:hAnsi="Arial" w:cs="Arial"/>
                <w:sz w:val="20"/>
                <w:szCs w:val="20"/>
              </w:rPr>
            </w:pPr>
            <w:r>
              <w:rPr>
                <w:rFonts w:ascii="Arial" w:hAnsi="Arial" w:cs="Arial"/>
                <w:sz w:val="20"/>
                <w:szCs w:val="20"/>
              </w:rPr>
              <w:t>11</w:t>
            </w:r>
          </w:p>
        </w:tc>
        <w:tc>
          <w:tcPr>
            <w:tcW w:w="993" w:type="dxa"/>
            <w:tcBorders>
              <w:top w:val="nil"/>
              <w:left w:val="nil"/>
              <w:bottom w:val="single" w:sz="4" w:space="0" w:color="auto"/>
              <w:right w:val="single" w:sz="4" w:space="0" w:color="auto"/>
            </w:tcBorders>
            <w:shd w:val="clear" w:color="auto" w:fill="auto"/>
            <w:noWrap/>
            <w:vAlign w:val="bottom"/>
          </w:tcPr>
          <w:p w:rsidR="007C2396" w:rsidRDefault="00C47155" w:rsidP="00584332">
            <w:pPr>
              <w:jc w:val="right"/>
              <w:rPr>
                <w:rFonts w:ascii="Arial" w:hAnsi="Arial" w:cs="Arial"/>
                <w:sz w:val="20"/>
                <w:szCs w:val="20"/>
              </w:rPr>
            </w:pPr>
            <w:r>
              <w:rPr>
                <w:rFonts w:ascii="Arial" w:hAnsi="Arial" w:cs="Arial"/>
                <w:sz w:val="20"/>
                <w:szCs w:val="20"/>
              </w:rPr>
              <w:t>133</w:t>
            </w:r>
          </w:p>
        </w:tc>
      </w:tr>
      <w:tr w:rsidR="004276A0" w:rsidRPr="00BF0E9D" w:rsidTr="000F3C65">
        <w:trPr>
          <w:trHeight w:val="255"/>
        </w:trPr>
        <w:tc>
          <w:tcPr>
            <w:tcW w:w="2770" w:type="dxa"/>
            <w:tcBorders>
              <w:top w:val="nil"/>
              <w:left w:val="single" w:sz="4" w:space="0" w:color="auto"/>
              <w:bottom w:val="single" w:sz="4" w:space="0" w:color="auto"/>
              <w:right w:val="single" w:sz="4" w:space="0" w:color="auto"/>
            </w:tcBorders>
            <w:shd w:val="clear" w:color="auto" w:fill="auto"/>
            <w:noWrap/>
            <w:vAlign w:val="bottom"/>
          </w:tcPr>
          <w:p w:rsidR="004276A0" w:rsidRPr="000F3C65" w:rsidRDefault="004276A0" w:rsidP="00584332">
            <w:pPr>
              <w:pStyle w:val="NoSpacing"/>
              <w:rPr>
                <w:b/>
              </w:rPr>
            </w:pPr>
            <w:r w:rsidRPr="000F3C65">
              <w:rPr>
                <w:b/>
              </w:rPr>
              <w:t>As on 01-04-</w:t>
            </w:r>
            <w:r w:rsidR="00674A64">
              <w:rPr>
                <w:b/>
              </w:rPr>
              <w:t>2</w:t>
            </w:r>
            <w:r w:rsidR="0098412F">
              <w:rPr>
                <w:b/>
              </w:rPr>
              <w:t>021</w:t>
            </w:r>
          </w:p>
        </w:tc>
        <w:tc>
          <w:tcPr>
            <w:tcW w:w="1057" w:type="dxa"/>
            <w:tcBorders>
              <w:top w:val="nil"/>
              <w:left w:val="nil"/>
              <w:bottom w:val="single" w:sz="4" w:space="0" w:color="auto"/>
              <w:right w:val="single" w:sz="4" w:space="0" w:color="auto"/>
            </w:tcBorders>
            <w:shd w:val="clear" w:color="auto" w:fill="auto"/>
            <w:noWrap/>
            <w:vAlign w:val="bottom"/>
          </w:tcPr>
          <w:p w:rsidR="004276A0" w:rsidRPr="000F3C65" w:rsidRDefault="006E0154" w:rsidP="000F3C65">
            <w:pPr>
              <w:pStyle w:val="NoSpacing"/>
              <w:jc w:val="right"/>
              <w:rPr>
                <w:b/>
              </w:rPr>
            </w:pPr>
            <w:r>
              <w:rPr>
                <w:b/>
              </w:rPr>
              <w:t>3</w:t>
            </w:r>
            <w:r w:rsidR="00FB02D8">
              <w:rPr>
                <w:b/>
              </w:rPr>
              <w:t>46</w:t>
            </w:r>
          </w:p>
        </w:tc>
        <w:tc>
          <w:tcPr>
            <w:tcW w:w="1526" w:type="dxa"/>
            <w:tcBorders>
              <w:top w:val="nil"/>
              <w:left w:val="nil"/>
              <w:bottom w:val="single" w:sz="4" w:space="0" w:color="auto"/>
              <w:right w:val="single" w:sz="4" w:space="0" w:color="auto"/>
            </w:tcBorders>
            <w:shd w:val="clear" w:color="auto" w:fill="auto"/>
            <w:noWrap/>
            <w:vAlign w:val="bottom"/>
          </w:tcPr>
          <w:p w:rsidR="004276A0" w:rsidRPr="000F3C65" w:rsidRDefault="00FB02D8" w:rsidP="000F3C65">
            <w:pPr>
              <w:pStyle w:val="NoSpacing"/>
              <w:jc w:val="right"/>
              <w:rPr>
                <w:b/>
              </w:rPr>
            </w:pPr>
            <w:r>
              <w:rPr>
                <w:b/>
              </w:rPr>
              <w:t>93</w:t>
            </w:r>
          </w:p>
        </w:tc>
        <w:tc>
          <w:tcPr>
            <w:tcW w:w="1134" w:type="dxa"/>
            <w:tcBorders>
              <w:top w:val="nil"/>
              <w:left w:val="nil"/>
              <w:bottom w:val="single" w:sz="4" w:space="0" w:color="auto"/>
              <w:right w:val="single" w:sz="4" w:space="0" w:color="auto"/>
            </w:tcBorders>
            <w:shd w:val="clear" w:color="auto" w:fill="auto"/>
            <w:noWrap/>
            <w:vAlign w:val="bottom"/>
          </w:tcPr>
          <w:p w:rsidR="004276A0" w:rsidRPr="000F3C65" w:rsidRDefault="00FB02D8" w:rsidP="000F3C65">
            <w:pPr>
              <w:pStyle w:val="NoSpacing"/>
              <w:jc w:val="right"/>
              <w:rPr>
                <w:b/>
              </w:rPr>
            </w:pPr>
            <w:r>
              <w:rPr>
                <w:b/>
              </w:rPr>
              <w:t>2096</w:t>
            </w:r>
          </w:p>
        </w:tc>
        <w:tc>
          <w:tcPr>
            <w:tcW w:w="1559" w:type="dxa"/>
            <w:tcBorders>
              <w:top w:val="nil"/>
              <w:left w:val="nil"/>
              <w:bottom w:val="single" w:sz="4" w:space="0" w:color="auto"/>
              <w:right w:val="single" w:sz="4" w:space="0" w:color="auto"/>
            </w:tcBorders>
            <w:shd w:val="clear" w:color="auto" w:fill="auto"/>
            <w:noWrap/>
            <w:vAlign w:val="bottom"/>
          </w:tcPr>
          <w:p w:rsidR="004276A0" w:rsidRPr="000F3C65" w:rsidRDefault="00FB02D8" w:rsidP="007C2396">
            <w:pPr>
              <w:pStyle w:val="NoSpacing"/>
              <w:jc w:val="right"/>
              <w:rPr>
                <w:b/>
              </w:rPr>
            </w:pPr>
            <w:r>
              <w:rPr>
                <w:b/>
              </w:rPr>
              <w:t>437</w:t>
            </w:r>
          </w:p>
        </w:tc>
        <w:tc>
          <w:tcPr>
            <w:tcW w:w="993" w:type="dxa"/>
            <w:tcBorders>
              <w:top w:val="nil"/>
              <w:left w:val="nil"/>
              <w:bottom w:val="single" w:sz="4" w:space="0" w:color="auto"/>
              <w:right w:val="single" w:sz="4" w:space="0" w:color="auto"/>
            </w:tcBorders>
            <w:shd w:val="clear" w:color="auto" w:fill="auto"/>
            <w:noWrap/>
            <w:vAlign w:val="bottom"/>
          </w:tcPr>
          <w:p w:rsidR="004276A0" w:rsidRPr="000F3C65" w:rsidRDefault="006E0154" w:rsidP="00584332">
            <w:pPr>
              <w:pStyle w:val="NoSpacing"/>
              <w:jc w:val="right"/>
              <w:rPr>
                <w:b/>
              </w:rPr>
            </w:pPr>
            <w:r>
              <w:rPr>
                <w:b/>
              </w:rPr>
              <w:t>2</w:t>
            </w:r>
            <w:r w:rsidR="00C47155">
              <w:rPr>
                <w:b/>
              </w:rPr>
              <w:t>176</w:t>
            </w:r>
          </w:p>
        </w:tc>
      </w:tr>
    </w:tbl>
    <w:p w:rsidR="00014982" w:rsidRDefault="00014982" w:rsidP="004276A0">
      <w:pPr>
        <w:pStyle w:val="Footer"/>
        <w:tabs>
          <w:tab w:val="clear" w:pos="4320"/>
          <w:tab w:val="clear" w:pos="8640"/>
        </w:tabs>
        <w:spacing w:line="360" w:lineRule="auto"/>
        <w:jc w:val="both"/>
        <w:rPr>
          <w:rFonts w:ascii="Cambria" w:hAnsi="Cambria" w:cs="Arial"/>
        </w:rPr>
      </w:pPr>
    </w:p>
    <w:p w:rsidR="004276A0" w:rsidRDefault="004276A0" w:rsidP="004276A0">
      <w:pPr>
        <w:pStyle w:val="Footer"/>
        <w:tabs>
          <w:tab w:val="clear" w:pos="4320"/>
          <w:tab w:val="clear" w:pos="8640"/>
        </w:tabs>
        <w:spacing w:line="360" w:lineRule="auto"/>
        <w:jc w:val="both"/>
        <w:rPr>
          <w:rFonts w:ascii="Cambria" w:hAnsi="Cambria" w:cs="Arial"/>
        </w:rPr>
      </w:pPr>
      <w:r w:rsidRPr="00BF0E9D">
        <w:rPr>
          <w:rFonts w:ascii="Cambria" w:hAnsi="Cambria" w:cs="Arial"/>
        </w:rPr>
        <w:t>No of employees retiring during FY 201</w:t>
      </w:r>
      <w:r w:rsidR="00C47155">
        <w:rPr>
          <w:rFonts w:ascii="Cambria" w:hAnsi="Cambria" w:cs="Arial"/>
        </w:rPr>
        <w:t>9-20 and FY 2020-21</w:t>
      </w:r>
      <w:r w:rsidRPr="00BF0E9D">
        <w:rPr>
          <w:rFonts w:ascii="Cambria" w:hAnsi="Cambria" w:cs="Arial"/>
        </w:rPr>
        <w:t xml:space="preserve"> and saving on account of same are as follows:</w:t>
      </w:r>
    </w:p>
    <w:tbl>
      <w:tblPr>
        <w:tblW w:w="8103"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15"/>
        <w:gridCol w:w="2016"/>
        <w:gridCol w:w="2253"/>
        <w:gridCol w:w="2819"/>
      </w:tblGrid>
      <w:tr w:rsidR="004276A0" w:rsidRPr="00BF0E9D" w:rsidTr="00767F25">
        <w:trPr>
          <w:jc w:val="center"/>
        </w:trPr>
        <w:tc>
          <w:tcPr>
            <w:tcW w:w="1015" w:type="dxa"/>
            <w:vAlign w:val="center"/>
          </w:tcPr>
          <w:p w:rsidR="004276A0" w:rsidRPr="00BF0E9D" w:rsidRDefault="004276A0" w:rsidP="000334F1">
            <w:pPr>
              <w:pStyle w:val="NoSpacing"/>
              <w:jc w:val="center"/>
            </w:pPr>
            <w:r w:rsidRPr="00BF0E9D">
              <w:t>FY</w:t>
            </w:r>
          </w:p>
        </w:tc>
        <w:tc>
          <w:tcPr>
            <w:tcW w:w="2016" w:type="dxa"/>
            <w:vAlign w:val="center"/>
          </w:tcPr>
          <w:p w:rsidR="004276A0" w:rsidRPr="00BF0E9D" w:rsidRDefault="004276A0" w:rsidP="000334F1">
            <w:pPr>
              <w:pStyle w:val="NoSpacing"/>
              <w:jc w:val="center"/>
            </w:pPr>
            <w:r w:rsidRPr="00BF0E9D">
              <w:t>Category</w:t>
            </w:r>
          </w:p>
        </w:tc>
        <w:tc>
          <w:tcPr>
            <w:tcW w:w="2253" w:type="dxa"/>
            <w:vAlign w:val="center"/>
          </w:tcPr>
          <w:p w:rsidR="004276A0" w:rsidRPr="00BF0E9D" w:rsidRDefault="004276A0" w:rsidP="000334F1">
            <w:pPr>
              <w:pStyle w:val="NoSpacing"/>
              <w:jc w:val="center"/>
            </w:pPr>
            <w:r w:rsidRPr="00BF0E9D">
              <w:t>Nos. of employees retiring</w:t>
            </w:r>
          </w:p>
        </w:tc>
        <w:tc>
          <w:tcPr>
            <w:tcW w:w="2819" w:type="dxa"/>
            <w:vAlign w:val="center"/>
          </w:tcPr>
          <w:p w:rsidR="004276A0" w:rsidRPr="00BF0E9D" w:rsidRDefault="004276A0" w:rsidP="00663A8F">
            <w:pPr>
              <w:pStyle w:val="NoSpacing"/>
              <w:jc w:val="center"/>
            </w:pPr>
            <w:r w:rsidRPr="00BF0E9D">
              <w:t>Saving on account of retirement (Rs la</w:t>
            </w:r>
            <w:r w:rsidR="00663A8F">
              <w:t>kh</w:t>
            </w:r>
            <w:r w:rsidRPr="00BF0E9D">
              <w:t>)</w:t>
            </w:r>
          </w:p>
        </w:tc>
      </w:tr>
      <w:tr w:rsidR="004276A0" w:rsidRPr="00BF0E9D" w:rsidTr="00767F25">
        <w:trPr>
          <w:jc w:val="center"/>
        </w:trPr>
        <w:tc>
          <w:tcPr>
            <w:tcW w:w="1015" w:type="dxa"/>
            <w:vAlign w:val="center"/>
          </w:tcPr>
          <w:p w:rsidR="004276A0" w:rsidRPr="00BF0E9D" w:rsidRDefault="004276A0" w:rsidP="006E77A0">
            <w:pPr>
              <w:pStyle w:val="NoSpacing"/>
            </w:pPr>
            <w:r w:rsidRPr="00BF0E9D">
              <w:t>20</w:t>
            </w:r>
            <w:r w:rsidR="00C47155">
              <w:t>1</w:t>
            </w:r>
            <w:r w:rsidR="00195BF0">
              <w:t>9-20</w:t>
            </w:r>
          </w:p>
        </w:tc>
        <w:tc>
          <w:tcPr>
            <w:tcW w:w="2016" w:type="dxa"/>
            <w:vAlign w:val="center"/>
          </w:tcPr>
          <w:p w:rsidR="004276A0" w:rsidRPr="00BF0E9D" w:rsidRDefault="004276A0" w:rsidP="000334F1">
            <w:pPr>
              <w:pStyle w:val="NoSpacing"/>
            </w:pPr>
            <w:r w:rsidRPr="00BF0E9D">
              <w:t>Executive</w:t>
            </w:r>
          </w:p>
          <w:p w:rsidR="004276A0" w:rsidRPr="00BF0E9D" w:rsidRDefault="004276A0" w:rsidP="000334F1">
            <w:pPr>
              <w:pStyle w:val="NoSpacing"/>
            </w:pPr>
            <w:r w:rsidRPr="00BF0E9D">
              <w:t>Non Executive</w:t>
            </w:r>
          </w:p>
        </w:tc>
        <w:tc>
          <w:tcPr>
            <w:tcW w:w="2253" w:type="dxa"/>
          </w:tcPr>
          <w:p w:rsidR="004276A0" w:rsidRPr="00BF0E9D" w:rsidRDefault="000636F8" w:rsidP="00767F25">
            <w:pPr>
              <w:pStyle w:val="NoSpacing"/>
              <w:jc w:val="center"/>
            </w:pPr>
            <w:r>
              <w:t>1</w:t>
            </w:r>
            <w:r w:rsidR="00195BF0">
              <w:t>44</w:t>
            </w:r>
          </w:p>
        </w:tc>
        <w:tc>
          <w:tcPr>
            <w:tcW w:w="2819" w:type="dxa"/>
            <w:vAlign w:val="center"/>
          </w:tcPr>
          <w:p w:rsidR="004276A0" w:rsidRPr="00BF0E9D" w:rsidRDefault="00195BF0" w:rsidP="00767F25">
            <w:pPr>
              <w:pStyle w:val="NoSpacing"/>
              <w:jc w:val="center"/>
            </w:pPr>
            <w:r>
              <w:t>123.67</w:t>
            </w:r>
          </w:p>
        </w:tc>
      </w:tr>
      <w:tr w:rsidR="004276A0" w:rsidRPr="00BF0E9D" w:rsidTr="00767F25">
        <w:trPr>
          <w:jc w:val="center"/>
        </w:trPr>
        <w:tc>
          <w:tcPr>
            <w:tcW w:w="1015" w:type="dxa"/>
            <w:vAlign w:val="center"/>
          </w:tcPr>
          <w:p w:rsidR="004276A0" w:rsidRPr="00BF0E9D" w:rsidRDefault="004276A0" w:rsidP="006E77A0">
            <w:pPr>
              <w:pStyle w:val="NoSpacing"/>
            </w:pPr>
            <w:r w:rsidRPr="00BF0E9D">
              <w:t>20</w:t>
            </w:r>
            <w:r w:rsidR="00195BF0">
              <w:t>20-21</w:t>
            </w:r>
          </w:p>
        </w:tc>
        <w:tc>
          <w:tcPr>
            <w:tcW w:w="2016" w:type="dxa"/>
            <w:vAlign w:val="center"/>
          </w:tcPr>
          <w:p w:rsidR="004276A0" w:rsidRPr="00BF0E9D" w:rsidRDefault="004276A0" w:rsidP="000334F1">
            <w:pPr>
              <w:pStyle w:val="NoSpacing"/>
            </w:pPr>
            <w:r w:rsidRPr="00BF0E9D">
              <w:t>Executive</w:t>
            </w:r>
          </w:p>
          <w:p w:rsidR="004276A0" w:rsidRPr="00BF0E9D" w:rsidRDefault="004276A0" w:rsidP="000334F1">
            <w:pPr>
              <w:pStyle w:val="NoSpacing"/>
            </w:pPr>
            <w:r w:rsidRPr="00BF0E9D">
              <w:t>Non Executive</w:t>
            </w:r>
          </w:p>
        </w:tc>
        <w:tc>
          <w:tcPr>
            <w:tcW w:w="2253" w:type="dxa"/>
          </w:tcPr>
          <w:p w:rsidR="004276A0" w:rsidRPr="00BF0E9D" w:rsidRDefault="00195BF0" w:rsidP="00767F25">
            <w:pPr>
              <w:pStyle w:val="NoSpacing"/>
              <w:jc w:val="center"/>
            </w:pPr>
            <w:r>
              <w:t>133</w:t>
            </w:r>
          </w:p>
        </w:tc>
        <w:tc>
          <w:tcPr>
            <w:tcW w:w="2819" w:type="dxa"/>
            <w:vAlign w:val="center"/>
          </w:tcPr>
          <w:p w:rsidR="004276A0" w:rsidRPr="00BF0E9D" w:rsidRDefault="006E77A0" w:rsidP="00767F25">
            <w:pPr>
              <w:pStyle w:val="NoSpacing"/>
              <w:jc w:val="center"/>
            </w:pPr>
            <w:r>
              <w:t>1</w:t>
            </w:r>
            <w:r w:rsidR="00195BF0">
              <w:t>14.76</w:t>
            </w:r>
          </w:p>
        </w:tc>
      </w:tr>
    </w:tbl>
    <w:p w:rsidR="004276A0" w:rsidRPr="00BF0E9D" w:rsidRDefault="004276A0" w:rsidP="004276A0">
      <w:pPr>
        <w:pStyle w:val="BodyText2"/>
        <w:spacing w:before="0" w:after="0" w:line="360" w:lineRule="auto"/>
        <w:jc w:val="both"/>
        <w:rPr>
          <w:rFonts w:ascii="Cambria" w:hAnsi="Cambria"/>
          <w:sz w:val="24"/>
          <w:szCs w:val="24"/>
        </w:rPr>
      </w:pPr>
    </w:p>
    <w:p w:rsidR="00097007" w:rsidRPr="00097007" w:rsidRDefault="00097007" w:rsidP="004276A0">
      <w:pPr>
        <w:pStyle w:val="BodyText2"/>
        <w:spacing w:line="360" w:lineRule="auto"/>
        <w:jc w:val="both"/>
        <w:rPr>
          <w:rFonts w:ascii="Cambria" w:hAnsi="Cambria" w:cs="Arial"/>
          <w:b/>
          <w:bCs/>
          <w:sz w:val="24"/>
          <w:szCs w:val="24"/>
          <w:u w:val="single"/>
          <w:lang w:val="en-GB"/>
        </w:rPr>
      </w:pPr>
      <w:r w:rsidRPr="00097007">
        <w:rPr>
          <w:rFonts w:ascii="Cambria" w:hAnsi="Cambria" w:cs="Arial"/>
          <w:b/>
          <w:bCs/>
          <w:sz w:val="24"/>
          <w:szCs w:val="24"/>
          <w:u w:val="single"/>
          <w:lang w:val="en-GB"/>
        </w:rPr>
        <w:t>Expenses Terminal Benefit Liability</w:t>
      </w:r>
    </w:p>
    <w:p w:rsidR="004276A0"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As regards to terminal benefits i.e. the contribution to the Pension Fund and Gratuity Fund and Leave Encashment has been proposed for</w:t>
      </w:r>
      <w:r w:rsidRPr="00BF0E9D">
        <w:rPr>
          <w:rFonts w:ascii="Cambria" w:hAnsi="Cambria" w:cs="Arial"/>
          <w:sz w:val="24"/>
          <w:szCs w:val="24"/>
        </w:rPr>
        <w:t xml:space="preserve"> </w:t>
      </w:r>
      <w:r w:rsidRPr="00BF0E9D">
        <w:rPr>
          <w:rFonts w:ascii="Cambria" w:hAnsi="Cambria" w:cs="Arial"/>
          <w:sz w:val="24"/>
          <w:szCs w:val="24"/>
          <w:lang w:val="en-GB"/>
        </w:rPr>
        <w:t>the yea</w:t>
      </w:r>
      <w:r w:rsidR="00195BF0">
        <w:rPr>
          <w:rFonts w:ascii="Cambria" w:hAnsi="Cambria" w:cs="Arial"/>
          <w:sz w:val="24"/>
          <w:szCs w:val="24"/>
          <w:lang w:val="en-GB"/>
        </w:rPr>
        <w:t>r 2020-21</w:t>
      </w:r>
      <w:r w:rsidRPr="000F3C65">
        <w:rPr>
          <w:rFonts w:ascii="Cambria" w:hAnsi="Cambria" w:cs="Arial"/>
          <w:sz w:val="24"/>
          <w:szCs w:val="24"/>
          <w:lang w:val="en-GB"/>
        </w:rPr>
        <w:t xml:space="preserve"> based on the actuarial valuation done by M/s Bhudev Chaterjee as on 31.03.</w:t>
      </w:r>
      <w:r w:rsidRPr="00BF0E9D">
        <w:rPr>
          <w:rFonts w:ascii="Cambria" w:hAnsi="Cambria" w:cs="Arial"/>
          <w:sz w:val="24"/>
          <w:szCs w:val="24"/>
          <w:lang w:val="en-GB"/>
        </w:rPr>
        <w:t>201</w:t>
      </w:r>
      <w:r w:rsidR="00195BF0">
        <w:rPr>
          <w:rFonts w:ascii="Cambria" w:hAnsi="Cambria" w:cs="Arial"/>
          <w:sz w:val="24"/>
          <w:szCs w:val="24"/>
          <w:lang w:val="en-GB"/>
        </w:rPr>
        <w:t>9</w:t>
      </w:r>
      <w:r w:rsidRPr="00BF0E9D">
        <w:rPr>
          <w:rFonts w:ascii="Cambria" w:hAnsi="Cambria" w:cs="Arial"/>
          <w:sz w:val="24"/>
          <w:szCs w:val="24"/>
          <w:lang w:val="en-GB"/>
        </w:rPr>
        <w:t xml:space="preserve"> and </w:t>
      </w:r>
      <w:r w:rsidR="00195BF0">
        <w:rPr>
          <w:rFonts w:ascii="Cambria" w:hAnsi="Cambria" w:cs="Arial"/>
          <w:sz w:val="24"/>
          <w:szCs w:val="24"/>
          <w:lang w:val="en-GB"/>
        </w:rPr>
        <w:t>the projections provided for 20</w:t>
      </w:r>
      <w:r w:rsidRPr="00BF0E9D">
        <w:rPr>
          <w:rFonts w:ascii="Cambria" w:hAnsi="Cambria" w:cs="Arial"/>
          <w:sz w:val="24"/>
          <w:szCs w:val="24"/>
          <w:lang w:val="en-GB"/>
        </w:rPr>
        <w:t>1</w:t>
      </w:r>
      <w:r w:rsidR="00100709">
        <w:rPr>
          <w:rFonts w:ascii="Cambria" w:hAnsi="Cambria" w:cs="Arial"/>
          <w:sz w:val="24"/>
          <w:szCs w:val="24"/>
          <w:lang w:val="en-GB"/>
        </w:rPr>
        <w:t>9</w:t>
      </w:r>
      <w:r w:rsidR="00195BF0">
        <w:rPr>
          <w:rFonts w:ascii="Cambria" w:hAnsi="Cambria" w:cs="Arial"/>
          <w:sz w:val="24"/>
          <w:szCs w:val="24"/>
          <w:lang w:val="en-GB"/>
        </w:rPr>
        <w:t>-20</w:t>
      </w:r>
      <w:r w:rsidRPr="00BF0E9D">
        <w:rPr>
          <w:rFonts w:ascii="Cambria" w:hAnsi="Cambria" w:cs="Arial"/>
          <w:sz w:val="24"/>
          <w:szCs w:val="24"/>
          <w:lang w:val="en-GB"/>
        </w:rPr>
        <w:t xml:space="preserve"> and 20</w:t>
      </w:r>
      <w:r w:rsidR="00195BF0">
        <w:rPr>
          <w:rFonts w:ascii="Cambria" w:hAnsi="Cambria" w:cs="Arial"/>
          <w:sz w:val="24"/>
          <w:szCs w:val="24"/>
          <w:lang w:val="en-GB"/>
        </w:rPr>
        <w:t>2</w:t>
      </w:r>
      <w:r w:rsidR="00100709">
        <w:rPr>
          <w:rFonts w:ascii="Cambria" w:hAnsi="Cambria" w:cs="Arial"/>
          <w:sz w:val="24"/>
          <w:szCs w:val="24"/>
          <w:lang w:val="en-GB"/>
        </w:rPr>
        <w:t>0</w:t>
      </w:r>
      <w:r w:rsidR="00195BF0">
        <w:rPr>
          <w:rFonts w:ascii="Cambria" w:hAnsi="Cambria" w:cs="Arial"/>
          <w:sz w:val="24"/>
          <w:szCs w:val="24"/>
          <w:lang w:val="en-GB"/>
        </w:rPr>
        <w:t>-21</w:t>
      </w:r>
      <w:r w:rsidRPr="00BF0E9D">
        <w:rPr>
          <w:rFonts w:ascii="Cambria" w:hAnsi="Cambria" w:cs="Arial"/>
          <w:sz w:val="24"/>
          <w:szCs w:val="24"/>
          <w:lang w:val="en-GB"/>
        </w:rPr>
        <w:t>. The details are given in OERC Form: F-</w:t>
      </w:r>
      <w:r w:rsidR="00402407">
        <w:rPr>
          <w:rFonts w:ascii="Cambria" w:hAnsi="Cambria" w:cs="Arial"/>
          <w:sz w:val="24"/>
          <w:szCs w:val="24"/>
          <w:lang w:val="en-GB"/>
        </w:rPr>
        <w:t>12</w:t>
      </w:r>
      <w:r w:rsidRPr="00BF0E9D">
        <w:rPr>
          <w:rFonts w:ascii="Cambria" w:hAnsi="Cambria" w:cs="Arial"/>
          <w:sz w:val="24"/>
          <w:szCs w:val="24"/>
          <w:lang w:val="en-GB"/>
        </w:rPr>
        <w:t xml:space="preserve">. While computing the contribution required by the </w:t>
      </w:r>
      <w:r w:rsidR="006C38E9">
        <w:rPr>
          <w:rFonts w:ascii="Cambria" w:hAnsi="Cambria" w:cs="Arial"/>
          <w:sz w:val="24"/>
          <w:szCs w:val="24"/>
          <w:lang w:val="en-GB"/>
        </w:rPr>
        <w:t>Utility</w:t>
      </w:r>
      <w:r w:rsidRPr="00BF0E9D">
        <w:rPr>
          <w:rFonts w:ascii="Cambria" w:hAnsi="Cambria" w:cs="Arial"/>
          <w:sz w:val="24"/>
          <w:szCs w:val="24"/>
          <w:lang w:val="en-GB"/>
        </w:rPr>
        <w:t xml:space="preserve"> to fund the employees trust, the Actual </w:t>
      </w:r>
      <w:r w:rsidRPr="00BF0E9D">
        <w:rPr>
          <w:rFonts w:ascii="Cambria" w:hAnsi="Cambria" w:cs="Arial"/>
          <w:sz w:val="24"/>
          <w:szCs w:val="24"/>
          <w:lang w:val="en-GB"/>
        </w:rPr>
        <w:lastRenderedPageBreak/>
        <w:t>investments as on 01.04.201</w:t>
      </w:r>
      <w:r w:rsidR="00195BF0">
        <w:rPr>
          <w:rFonts w:ascii="Cambria" w:hAnsi="Cambria" w:cs="Arial"/>
          <w:sz w:val="24"/>
          <w:szCs w:val="24"/>
          <w:lang w:val="en-GB"/>
        </w:rPr>
        <w:t>9</w:t>
      </w:r>
      <w:r w:rsidRPr="00BF0E9D">
        <w:rPr>
          <w:rFonts w:ascii="Cambria" w:hAnsi="Cambria" w:cs="Arial"/>
          <w:sz w:val="24"/>
          <w:szCs w:val="24"/>
          <w:lang w:val="en-GB"/>
        </w:rPr>
        <w:t>, estimated Investments as on 01.0</w:t>
      </w:r>
      <w:r w:rsidR="00195BF0">
        <w:rPr>
          <w:rFonts w:ascii="Cambria" w:hAnsi="Cambria" w:cs="Arial"/>
          <w:sz w:val="24"/>
          <w:szCs w:val="24"/>
          <w:lang w:val="en-GB"/>
        </w:rPr>
        <w:t>4.2020</w:t>
      </w:r>
      <w:r w:rsidRPr="00BF0E9D">
        <w:rPr>
          <w:rFonts w:ascii="Cambria" w:hAnsi="Cambria" w:cs="Arial"/>
          <w:sz w:val="24"/>
          <w:szCs w:val="24"/>
          <w:lang w:val="en-GB"/>
        </w:rPr>
        <w:t>, income from the</w:t>
      </w:r>
      <w:r w:rsidR="00195BF0">
        <w:rPr>
          <w:rFonts w:ascii="Cambria" w:hAnsi="Cambria" w:cs="Arial"/>
          <w:sz w:val="24"/>
          <w:szCs w:val="24"/>
          <w:lang w:val="en-GB"/>
        </w:rPr>
        <w:t xml:space="preserve"> investments during the year 2020-21</w:t>
      </w:r>
      <w:r w:rsidRPr="00BF0E9D">
        <w:rPr>
          <w:rFonts w:ascii="Cambria" w:hAnsi="Cambria" w:cs="Arial"/>
          <w:sz w:val="24"/>
          <w:szCs w:val="24"/>
          <w:lang w:val="en-GB"/>
        </w:rPr>
        <w:t xml:space="preserve"> and the payments </w:t>
      </w:r>
      <w:r w:rsidR="00097007">
        <w:rPr>
          <w:rFonts w:ascii="Cambria" w:hAnsi="Cambria" w:cs="Arial"/>
          <w:sz w:val="24"/>
          <w:szCs w:val="24"/>
          <w:lang w:val="en-GB"/>
        </w:rPr>
        <w:t xml:space="preserve">to retired/retiring employees </w:t>
      </w:r>
      <w:r w:rsidR="00195BF0">
        <w:rPr>
          <w:rFonts w:ascii="Cambria" w:hAnsi="Cambria" w:cs="Arial"/>
          <w:sz w:val="24"/>
          <w:szCs w:val="24"/>
          <w:lang w:val="en-GB"/>
        </w:rPr>
        <w:t>during the 2020-21</w:t>
      </w:r>
      <w:r w:rsidRPr="00BF0E9D">
        <w:rPr>
          <w:rFonts w:ascii="Cambria" w:hAnsi="Cambria" w:cs="Arial"/>
          <w:sz w:val="24"/>
          <w:szCs w:val="24"/>
          <w:lang w:val="en-GB"/>
        </w:rPr>
        <w:t xml:space="preserve"> has been considered. The computation of the employee Terminal Benefit Tru</w:t>
      </w:r>
      <w:r w:rsidR="00195BF0">
        <w:rPr>
          <w:rFonts w:ascii="Cambria" w:hAnsi="Cambria" w:cs="Arial"/>
          <w:sz w:val="24"/>
          <w:szCs w:val="24"/>
          <w:lang w:val="en-GB"/>
        </w:rPr>
        <w:t>sts requirement for the year 20</w:t>
      </w:r>
      <w:r w:rsidRPr="00BF0E9D">
        <w:rPr>
          <w:rFonts w:ascii="Cambria" w:hAnsi="Cambria" w:cs="Arial"/>
          <w:sz w:val="24"/>
          <w:szCs w:val="24"/>
          <w:lang w:val="en-GB"/>
        </w:rPr>
        <w:t>1</w:t>
      </w:r>
      <w:r w:rsidR="00100709">
        <w:rPr>
          <w:rFonts w:ascii="Cambria" w:hAnsi="Cambria" w:cs="Arial"/>
          <w:sz w:val="24"/>
          <w:szCs w:val="24"/>
          <w:lang w:val="en-GB"/>
        </w:rPr>
        <w:t>9</w:t>
      </w:r>
      <w:r w:rsidR="00195BF0">
        <w:rPr>
          <w:rFonts w:ascii="Cambria" w:hAnsi="Cambria" w:cs="Arial"/>
          <w:sz w:val="24"/>
          <w:szCs w:val="24"/>
          <w:lang w:val="en-GB"/>
        </w:rPr>
        <w:t>-20 &amp; 20</w:t>
      </w:r>
      <w:r w:rsidR="00100709">
        <w:rPr>
          <w:rFonts w:ascii="Cambria" w:hAnsi="Cambria" w:cs="Arial"/>
          <w:sz w:val="24"/>
          <w:szCs w:val="24"/>
          <w:lang w:val="en-GB"/>
        </w:rPr>
        <w:t>20</w:t>
      </w:r>
      <w:r w:rsidR="00195BF0">
        <w:rPr>
          <w:rFonts w:ascii="Cambria" w:hAnsi="Cambria" w:cs="Arial"/>
          <w:sz w:val="24"/>
          <w:szCs w:val="24"/>
          <w:lang w:val="en-GB"/>
        </w:rPr>
        <w:t>-21</w:t>
      </w:r>
      <w:r w:rsidRPr="00BF0E9D">
        <w:rPr>
          <w:rFonts w:ascii="Cambria" w:hAnsi="Cambria" w:cs="Arial"/>
          <w:sz w:val="24"/>
          <w:szCs w:val="24"/>
          <w:lang w:val="en-GB"/>
        </w:rPr>
        <w:t xml:space="preserve"> amounting to Rs. </w:t>
      </w:r>
      <w:r w:rsidR="00195BF0">
        <w:rPr>
          <w:rFonts w:ascii="Cambria" w:hAnsi="Cambria" w:cs="Arial"/>
          <w:sz w:val="24"/>
          <w:szCs w:val="24"/>
          <w:lang w:val="en-GB"/>
        </w:rPr>
        <w:t>148.63</w:t>
      </w:r>
      <w:r w:rsidR="00F74E8C">
        <w:rPr>
          <w:rFonts w:ascii="Cambria" w:hAnsi="Cambria" w:cs="Arial"/>
          <w:sz w:val="24"/>
          <w:szCs w:val="24"/>
          <w:lang w:val="en-GB"/>
        </w:rPr>
        <w:t xml:space="preserve"> </w:t>
      </w:r>
      <w:r w:rsidRPr="00BF0E9D">
        <w:rPr>
          <w:rFonts w:ascii="Cambria" w:hAnsi="Cambria" w:cs="Arial"/>
          <w:sz w:val="24"/>
          <w:szCs w:val="24"/>
          <w:lang w:val="en-GB"/>
        </w:rPr>
        <w:t>Crore and Rs</w:t>
      </w:r>
      <w:r w:rsidR="00F74E8C">
        <w:rPr>
          <w:rFonts w:ascii="Cambria" w:hAnsi="Cambria" w:cs="Arial"/>
          <w:sz w:val="24"/>
          <w:szCs w:val="24"/>
          <w:lang w:val="en-GB"/>
        </w:rPr>
        <w:t>.</w:t>
      </w:r>
      <w:r w:rsidR="000636F8">
        <w:rPr>
          <w:rFonts w:ascii="Cambria" w:hAnsi="Cambria" w:cs="Arial"/>
          <w:sz w:val="24"/>
          <w:szCs w:val="24"/>
          <w:lang w:val="en-GB"/>
        </w:rPr>
        <w:t xml:space="preserve"> 1</w:t>
      </w:r>
      <w:r w:rsidR="00195BF0">
        <w:rPr>
          <w:rFonts w:ascii="Cambria" w:hAnsi="Cambria" w:cs="Arial"/>
          <w:sz w:val="24"/>
          <w:szCs w:val="24"/>
          <w:lang w:val="en-GB"/>
        </w:rPr>
        <w:t>53.82</w:t>
      </w:r>
      <w:r w:rsidR="00B91965">
        <w:rPr>
          <w:rFonts w:ascii="Cambria" w:hAnsi="Cambria" w:cs="Arial"/>
          <w:sz w:val="24"/>
          <w:szCs w:val="24"/>
          <w:lang w:val="en-GB"/>
        </w:rPr>
        <w:t xml:space="preserve"> </w:t>
      </w:r>
      <w:r w:rsidRPr="00BF0E9D">
        <w:rPr>
          <w:rFonts w:ascii="Cambria" w:hAnsi="Cambria" w:cs="Arial"/>
          <w:sz w:val="24"/>
          <w:szCs w:val="24"/>
          <w:lang w:val="en-GB"/>
        </w:rPr>
        <w:t xml:space="preserve">Crores respectively </w:t>
      </w:r>
      <w:r w:rsidR="00097007">
        <w:rPr>
          <w:rFonts w:ascii="Cambria" w:hAnsi="Cambria" w:cs="Arial"/>
          <w:sz w:val="24"/>
          <w:szCs w:val="24"/>
          <w:lang w:val="en-GB"/>
        </w:rPr>
        <w:t xml:space="preserve">is worked out based on </w:t>
      </w:r>
      <w:r w:rsidR="00B91965">
        <w:rPr>
          <w:rFonts w:ascii="Cambria" w:hAnsi="Cambria" w:cs="Arial"/>
          <w:sz w:val="24"/>
          <w:szCs w:val="24"/>
          <w:lang w:val="en-GB"/>
        </w:rPr>
        <w:t>actuarial report</w:t>
      </w:r>
      <w:r w:rsidR="00097007">
        <w:rPr>
          <w:rFonts w:ascii="Cambria" w:hAnsi="Cambria" w:cs="Arial"/>
          <w:sz w:val="24"/>
          <w:szCs w:val="24"/>
          <w:lang w:val="en-GB"/>
        </w:rPr>
        <w:t>,</w:t>
      </w:r>
      <w:r w:rsidRPr="00BF0E9D">
        <w:rPr>
          <w:rFonts w:ascii="Cambria" w:hAnsi="Cambria" w:cs="Arial"/>
          <w:sz w:val="24"/>
          <w:szCs w:val="24"/>
          <w:lang w:val="en-GB"/>
        </w:rPr>
        <w:t xml:space="preserve"> in the following table.</w:t>
      </w:r>
    </w:p>
    <w:p w:rsidR="007F48D4" w:rsidRPr="007F48D4" w:rsidRDefault="007F48D4" w:rsidP="004276A0">
      <w:pPr>
        <w:pStyle w:val="BodyText2"/>
        <w:spacing w:line="360" w:lineRule="auto"/>
        <w:jc w:val="both"/>
        <w:rPr>
          <w:rFonts w:ascii="Cambria" w:hAnsi="Cambria" w:cs="Arial"/>
          <w:sz w:val="4"/>
          <w:szCs w:val="4"/>
          <w:lang w:val="en-GB"/>
        </w:rPr>
      </w:pPr>
    </w:p>
    <w:tbl>
      <w:tblPr>
        <w:tblW w:w="7812" w:type="dxa"/>
        <w:tblInd w:w="432" w:type="dxa"/>
        <w:tblLook w:val="04A0"/>
      </w:tblPr>
      <w:tblGrid>
        <w:gridCol w:w="500"/>
        <w:gridCol w:w="5611"/>
        <w:gridCol w:w="1701"/>
      </w:tblGrid>
      <w:tr w:rsidR="00663A8F" w:rsidRPr="00663A8F" w:rsidTr="00663A8F">
        <w:trPr>
          <w:trHeight w:val="255"/>
        </w:trPr>
        <w:tc>
          <w:tcPr>
            <w:tcW w:w="50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663A8F" w:rsidRPr="00663A8F" w:rsidRDefault="00663A8F" w:rsidP="00663A8F">
            <w:pPr>
              <w:jc w:val="center"/>
              <w:rPr>
                <w:rFonts w:ascii="Arial" w:hAnsi="Arial" w:cs="Arial"/>
                <w:b/>
                <w:bCs/>
                <w:sz w:val="20"/>
                <w:szCs w:val="20"/>
                <w:lang w:val="en-IN" w:eastAsia="en-IN"/>
              </w:rPr>
            </w:pPr>
            <w:r w:rsidRPr="00663A8F">
              <w:rPr>
                <w:rFonts w:ascii="Arial" w:hAnsi="Arial" w:cs="Arial"/>
                <w:b/>
                <w:bCs/>
                <w:sz w:val="20"/>
                <w:szCs w:val="20"/>
                <w:lang w:val="en-IN" w:eastAsia="en-IN"/>
              </w:rPr>
              <w:t>A</w:t>
            </w:r>
          </w:p>
        </w:tc>
        <w:tc>
          <w:tcPr>
            <w:tcW w:w="5611" w:type="dxa"/>
            <w:tcBorders>
              <w:top w:val="single" w:sz="8" w:space="0" w:color="auto"/>
              <w:left w:val="nil"/>
              <w:bottom w:val="single" w:sz="4" w:space="0" w:color="auto"/>
              <w:right w:val="single" w:sz="4" w:space="0" w:color="auto"/>
            </w:tcBorders>
            <w:shd w:val="clear" w:color="auto" w:fill="auto"/>
            <w:hideMark/>
          </w:tcPr>
          <w:p w:rsidR="00663A8F" w:rsidRPr="00663A8F" w:rsidRDefault="00C701A5" w:rsidP="00663A8F">
            <w:pPr>
              <w:rPr>
                <w:rFonts w:ascii="Arial" w:hAnsi="Arial" w:cs="Arial"/>
                <w:b/>
                <w:bCs/>
                <w:sz w:val="20"/>
                <w:szCs w:val="20"/>
                <w:lang w:val="en-IN" w:eastAsia="en-IN"/>
              </w:rPr>
            </w:pPr>
            <w:r>
              <w:rPr>
                <w:rFonts w:ascii="Arial" w:hAnsi="Arial" w:cs="Arial"/>
                <w:b/>
                <w:bCs/>
                <w:sz w:val="20"/>
                <w:szCs w:val="20"/>
                <w:lang w:val="en-IN" w:eastAsia="en-IN"/>
              </w:rPr>
              <w:t>Terminal Liability for FY 2020-21</w:t>
            </w:r>
            <w:r w:rsidR="00663A8F" w:rsidRPr="00663A8F">
              <w:rPr>
                <w:rFonts w:ascii="Arial" w:hAnsi="Arial" w:cs="Arial"/>
                <w:b/>
                <w:bCs/>
                <w:sz w:val="20"/>
                <w:szCs w:val="20"/>
                <w:lang w:val="en-IN" w:eastAsia="en-IN"/>
              </w:rPr>
              <w:t xml:space="preserve">          </w:t>
            </w:r>
          </w:p>
        </w:tc>
        <w:tc>
          <w:tcPr>
            <w:tcW w:w="1701" w:type="dxa"/>
            <w:tcBorders>
              <w:top w:val="single" w:sz="8" w:space="0" w:color="auto"/>
              <w:left w:val="nil"/>
              <w:bottom w:val="single" w:sz="4" w:space="0" w:color="auto"/>
              <w:right w:val="single" w:sz="8" w:space="0" w:color="auto"/>
            </w:tcBorders>
            <w:shd w:val="clear" w:color="auto" w:fill="auto"/>
            <w:noWrap/>
            <w:vAlign w:val="bottom"/>
            <w:hideMark/>
          </w:tcPr>
          <w:p w:rsidR="00663A8F" w:rsidRPr="00663A8F" w:rsidRDefault="00663A8F" w:rsidP="00663A8F">
            <w:pPr>
              <w:rPr>
                <w:rFonts w:ascii="Arial" w:hAnsi="Arial" w:cs="Arial"/>
                <w:sz w:val="20"/>
                <w:szCs w:val="20"/>
                <w:lang w:val="en-IN" w:eastAsia="en-IN"/>
              </w:rPr>
            </w:pPr>
            <w:r w:rsidRPr="00663A8F">
              <w:rPr>
                <w:rFonts w:ascii="Arial" w:hAnsi="Arial" w:cs="Arial"/>
                <w:sz w:val="20"/>
                <w:szCs w:val="20"/>
                <w:lang w:val="en-IN" w:eastAsia="en-IN"/>
              </w:rPr>
              <w:t>Rs. Crore</w:t>
            </w:r>
          </w:p>
        </w:tc>
      </w:tr>
      <w:tr w:rsidR="00100709" w:rsidRPr="00663A8F" w:rsidTr="00663A8F">
        <w:trPr>
          <w:trHeight w:val="270"/>
        </w:trPr>
        <w:tc>
          <w:tcPr>
            <w:tcW w:w="500" w:type="dxa"/>
            <w:tcBorders>
              <w:top w:val="nil"/>
              <w:left w:val="single" w:sz="8" w:space="0" w:color="auto"/>
              <w:bottom w:val="single" w:sz="4" w:space="0" w:color="auto"/>
              <w:right w:val="single" w:sz="4" w:space="0" w:color="auto"/>
            </w:tcBorders>
            <w:shd w:val="clear" w:color="auto" w:fill="auto"/>
            <w:noWrap/>
            <w:hideMark/>
          </w:tcPr>
          <w:p w:rsidR="00100709" w:rsidRPr="00663A8F" w:rsidRDefault="00100709"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1</w:t>
            </w:r>
          </w:p>
        </w:tc>
        <w:tc>
          <w:tcPr>
            <w:tcW w:w="5611" w:type="dxa"/>
            <w:tcBorders>
              <w:top w:val="nil"/>
              <w:left w:val="nil"/>
              <w:bottom w:val="single" w:sz="4" w:space="0" w:color="auto"/>
              <w:right w:val="single" w:sz="4" w:space="0" w:color="auto"/>
            </w:tcBorders>
            <w:shd w:val="clear" w:color="auto" w:fill="auto"/>
            <w:hideMark/>
          </w:tcPr>
          <w:p w:rsidR="00100709" w:rsidRPr="00663A8F" w:rsidRDefault="00100709" w:rsidP="00663A8F">
            <w:pPr>
              <w:rPr>
                <w:rFonts w:ascii="Arial" w:hAnsi="Arial" w:cs="Arial"/>
                <w:sz w:val="20"/>
                <w:szCs w:val="20"/>
                <w:lang w:val="en-IN" w:eastAsia="en-IN"/>
              </w:rPr>
            </w:pPr>
            <w:r w:rsidRPr="00663A8F">
              <w:rPr>
                <w:rFonts w:ascii="Arial" w:hAnsi="Arial" w:cs="Arial"/>
                <w:sz w:val="20"/>
                <w:szCs w:val="20"/>
                <w:lang w:val="en-IN" w:eastAsia="en-IN"/>
              </w:rPr>
              <w:t>Employe</w:t>
            </w:r>
            <w:r>
              <w:rPr>
                <w:rFonts w:ascii="Arial" w:hAnsi="Arial" w:cs="Arial"/>
                <w:sz w:val="20"/>
                <w:szCs w:val="20"/>
                <w:lang w:val="en-IN" w:eastAsia="en-IN"/>
              </w:rPr>
              <w:t>e Trust Valuation as on 31.03.2</w:t>
            </w:r>
            <w:r w:rsidR="00C701A5">
              <w:rPr>
                <w:rFonts w:ascii="Arial" w:hAnsi="Arial" w:cs="Arial"/>
                <w:sz w:val="20"/>
                <w:szCs w:val="20"/>
                <w:lang w:val="en-IN" w:eastAsia="en-IN"/>
              </w:rPr>
              <w:t>1</w:t>
            </w:r>
          </w:p>
        </w:tc>
        <w:tc>
          <w:tcPr>
            <w:tcW w:w="1701" w:type="dxa"/>
            <w:tcBorders>
              <w:top w:val="nil"/>
              <w:left w:val="nil"/>
              <w:bottom w:val="single" w:sz="4" w:space="0" w:color="auto"/>
              <w:right w:val="single" w:sz="8" w:space="0" w:color="auto"/>
            </w:tcBorders>
            <w:shd w:val="clear" w:color="auto" w:fill="auto"/>
            <w:noWrap/>
            <w:vAlign w:val="bottom"/>
            <w:hideMark/>
          </w:tcPr>
          <w:p w:rsidR="00100709" w:rsidRDefault="00100709">
            <w:pPr>
              <w:jc w:val="right"/>
              <w:rPr>
                <w:rFonts w:ascii="Arial" w:hAnsi="Arial" w:cs="Arial"/>
                <w:sz w:val="20"/>
                <w:szCs w:val="20"/>
              </w:rPr>
            </w:pPr>
            <w:r>
              <w:rPr>
                <w:rFonts w:ascii="Arial" w:hAnsi="Arial" w:cs="Arial"/>
                <w:sz w:val="20"/>
                <w:szCs w:val="20"/>
              </w:rPr>
              <w:t>1</w:t>
            </w:r>
            <w:r w:rsidR="00A91C69">
              <w:rPr>
                <w:rFonts w:ascii="Arial" w:hAnsi="Arial" w:cs="Arial"/>
                <w:sz w:val="20"/>
                <w:szCs w:val="20"/>
              </w:rPr>
              <w:t>115.70</w:t>
            </w:r>
          </w:p>
        </w:tc>
      </w:tr>
      <w:tr w:rsidR="00100709" w:rsidRPr="00663A8F" w:rsidTr="00663A8F">
        <w:trPr>
          <w:trHeight w:val="285"/>
        </w:trPr>
        <w:tc>
          <w:tcPr>
            <w:tcW w:w="500" w:type="dxa"/>
            <w:tcBorders>
              <w:top w:val="nil"/>
              <w:left w:val="single" w:sz="8" w:space="0" w:color="auto"/>
              <w:bottom w:val="single" w:sz="4" w:space="0" w:color="auto"/>
              <w:right w:val="single" w:sz="4" w:space="0" w:color="auto"/>
            </w:tcBorders>
            <w:shd w:val="clear" w:color="auto" w:fill="auto"/>
            <w:noWrap/>
            <w:hideMark/>
          </w:tcPr>
          <w:p w:rsidR="00100709" w:rsidRPr="00663A8F" w:rsidRDefault="00100709"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2</w:t>
            </w:r>
          </w:p>
        </w:tc>
        <w:tc>
          <w:tcPr>
            <w:tcW w:w="5611" w:type="dxa"/>
            <w:tcBorders>
              <w:top w:val="nil"/>
              <w:left w:val="nil"/>
              <w:bottom w:val="single" w:sz="4" w:space="0" w:color="auto"/>
              <w:right w:val="single" w:sz="4" w:space="0" w:color="auto"/>
            </w:tcBorders>
            <w:shd w:val="clear" w:color="auto" w:fill="auto"/>
            <w:hideMark/>
          </w:tcPr>
          <w:p w:rsidR="00100709" w:rsidRPr="00663A8F" w:rsidRDefault="00100709" w:rsidP="00663A8F">
            <w:pPr>
              <w:rPr>
                <w:rFonts w:ascii="Arial" w:hAnsi="Arial" w:cs="Arial"/>
                <w:sz w:val="20"/>
                <w:szCs w:val="20"/>
                <w:lang w:val="en-IN" w:eastAsia="en-IN"/>
              </w:rPr>
            </w:pPr>
            <w:r w:rsidRPr="00663A8F">
              <w:rPr>
                <w:rFonts w:ascii="Arial" w:hAnsi="Arial" w:cs="Arial"/>
                <w:sz w:val="20"/>
                <w:szCs w:val="20"/>
                <w:lang w:val="en-IN" w:eastAsia="en-IN"/>
              </w:rPr>
              <w:t>Employe</w:t>
            </w:r>
            <w:r>
              <w:rPr>
                <w:rFonts w:ascii="Arial" w:hAnsi="Arial" w:cs="Arial"/>
                <w:sz w:val="20"/>
                <w:szCs w:val="20"/>
                <w:lang w:val="en-IN" w:eastAsia="en-IN"/>
              </w:rPr>
              <w:t>e Trust Valuation as on 31.03.</w:t>
            </w:r>
            <w:r w:rsidR="00C701A5">
              <w:rPr>
                <w:rFonts w:ascii="Arial" w:hAnsi="Arial" w:cs="Arial"/>
                <w:sz w:val="20"/>
                <w:szCs w:val="20"/>
                <w:lang w:val="en-IN" w:eastAsia="en-IN"/>
              </w:rPr>
              <w:t>20</w:t>
            </w:r>
          </w:p>
        </w:tc>
        <w:tc>
          <w:tcPr>
            <w:tcW w:w="1701" w:type="dxa"/>
            <w:tcBorders>
              <w:top w:val="nil"/>
              <w:left w:val="nil"/>
              <w:bottom w:val="single" w:sz="4" w:space="0" w:color="auto"/>
              <w:right w:val="single" w:sz="8" w:space="0" w:color="auto"/>
            </w:tcBorders>
            <w:shd w:val="clear" w:color="auto" w:fill="auto"/>
            <w:noWrap/>
            <w:vAlign w:val="bottom"/>
            <w:hideMark/>
          </w:tcPr>
          <w:p w:rsidR="00100709" w:rsidRDefault="00A91C69">
            <w:pPr>
              <w:jc w:val="right"/>
              <w:rPr>
                <w:rFonts w:ascii="Arial" w:hAnsi="Arial" w:cs="Arial"/>
                <w:sz w:val="20"/>
                <w:szCs w:val="20"/>
              </w:rPr>
            </w:pPr>
            <w:r>
              <w:rPr>
                <w:rFonts w:ascii="Arial" w:hAnsi="Arial" w:cs="Arial"/>
                <w:sz w:val="20"/>
                <w:szCs w:val="20"/>
              </w:rPr>
              <w:t>1115.80</w:t>
            </w:r>
          </w:p>
        </w:tc>
      </w:tr>
      <w:tr w:rsidR="00663A8F"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663A8F" w:rsidRPr="00663A8F" w:rsidRDefault="00663A8F"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3</w:t>
            </w:r>
          </w:p>
        </w:tc>
        <w:tc>
          <w:tcPr>
            <w:tcW w:w="5611" w:type="dxa"/>
            <w:tcBorders>
              <w:top w:val="nil"/>
              <w:left w:val="nil"/>
              <w:bottom w:val="single" w:sz="4" w:space="0" w:color="auto"/>
              <w:right w:val="single" w:sz="4" w:space="0" w:color="auto"/>
            </w:tcBorders>
            <w:shd w:val="clear" w:color="auto" w:fill="auto"/>
            <w:hideMark/>
          </w:tcPr>
          <w:p w:rsidR="00663A8F" w:rsidRPr="00663A8F" w:rsidRDefault="00663A8F" w:rsidP="009635F8">
            <w:pPr>
              <w:rPr>
                <w:rFonts w:ascii="Arial" w:hAnsi="Arial" w:cs="Arial"/>
                <w:sz w:val="20"/>
                <w:szCs w:val="20"/>
                <w:lang w:val="en-IN" w:eastAsia="en-IN"/>
              </w:rPr>
            </w:pPr>
            <w:r w:rsidRPr="00663A8F">
              <w:rPr>
                <w:rFonts w:ascii="Arial" w:hAnsi="Arial" w:cs="Arial"/>
                <w:sz w:val="20"/>
                <w:szCs w:val="20"/>
                <w:lang w:val="en-IN" w:eastAsia="en-IN"/>
              </w:rPr>
              <w:t>Interes</w:t>
            </w:r>
            <w:r w:rsidR="009635F8">
              <w:rPr>
                <w:rFonts w:ascii="Arial" w:hAnsi="Arial" w:cs="Arial"/>
                <w:sz w:val="20"/>
                <w:szCs w:val="20"/>
                <w:lang w:val="en-IN" w:eastAsia="en-IN"/>
              </w:rPr>
              <w:t>t on inv</w:t>
            </w:r>
            <w:r w:rsidR="00D64B81">
              <w:rPr>
                <w:rFonts w:ascii="Arial" w:hAnsi="Arial" w:cs="Arial"/>
                <w:sz w:val="20"/>
                <w:szCs w:val="20"/>
                <w:lang w:val="en-IN" w:eastAsia="en-IN"/>
              </w:rPr>
              <w:t>e</w:t>
            </w:r>
            <w:r w:rsidR="009635F8">
              <w:rPr>
                <w:rFonts w:ascii="Arial" w:hAnsi="Arial" w:cs="Arial"/>
                <w:sz w:val="20"/>
                <w:szCs w:val="20"/>
                <w:lang w:val="en-IN" w:eastAsia="en-IN"/>
              </w:rPr>
              <w:t>stm</w:t>
            </w:r>
            <w:r w:rsidR="00D64B81">
              <w:rPr>
                <w:rFonts w:ascii="Arial" w:hAnsi="Arial" w:cs="Arial"/>
                <w:sz w:val="20"/>
                <w:szCs w:val="20"/>
                <w:lang w:val="en-IN" w:eastAsia="en-IN"/>
              </w:rPr>
              <w:t>e</w:t>
            </w:r>
            <w:r w:rsidR="00C701A5">
              <w:rPr>
                <w:rFonts w:ascii="Arial" w:hAnsi="Arial" w:cs="Arial"/>
                <w:sz w:val="20"/>
                <w:szCs w:val="20"/>
                <w:lang w:val="en-IN" w:eastAsia="en-IN"/>
              </w:rPr>
              <w:t>nt during 2020-21</w:t>
            </w:r>
            <w:r w:rsidR="000636F8">
              <w:rPr>
                <w:rFonts w:ascii="Arial" w:hAnsi="Arial" w:cs="Arial"/>
                <w:sz w:val="20"/>
                <w:szCs w:val="20"/>
                <w:lang w:val="en-IN" w:eastAsia="en-IN"/>
              </w:rPr>
              <w:t xml:space="preserve"> @ 7.</w:t>
            </w:r>
            <w:r w:rsidR="00C701A5">
              <w:rPr>
                <w:rFonts w:ascii="Arial" w:hAnsi="Arial" w:cs="Arial"/>
                <w:sz w:val="20"/>
                <w:szCs w:val="20"/>
                <w:lang w:val="en-IN" w:eastAsia="en-IN"/>
              </w:rPr>
              <w:t>5</w:t>
            </w:r>
            <w:r w:rsidR="009635F8">
              <w:rPr>
                <w:rFonts w:ascii="Arial" w:hAnsi="Arial" w:cs="Arial"/>
                <w:sz w:val="20"/>
                <w:szCs w:val="20"/>
                <w:lang w:val="en-IN" w:eastAsia="en-IN"/>
              </w:rPr>
              <w:t>0</w:t>
            </w:r>
            <w:r w:rsidRPr="00663A8F">
              <w:rPr>
                <w:rFonts w:ascii="Arial" w:hAnsi="Arial" w:cs="Arial"/>
                <w:sz w:val="20"/>
                <w:szCs w:val="20"/>
                <w:lang w:val="en-IN" w:eastAsia="en-IN"/>
              </w:rPr>
              <w:t xml:space="preserve"> %</w:t>
            </w:r>
          </w:p>
        </w:tc>
        <w:tc>
          <w:tcPr>
            <w:tcW w:w="1701" w:type="dxa"/>
            <w:tcBorders>
              <w:top w:val="nil"/>
              <w:left w:val="nil"/>
              <w:bottom w:val="single" w:sz="4" w:space="0" w:color="auto"/>
              <w:right w:val="single" w:sz="8" w:space="0" w:color="auto"/>
            </w:tcBorders>
            <w:shd w:val="clear" w:color="auto" w:fill="auto"/>
            <w:noWrap/>
            <w:vAlign w:val="bottom"/>
            <w:hideMark/>
          </w:tcPr>
          <w:p w:rsidR="00663A8F" w:rsidRPr="00663A8F" w:rsidRDefault="00663A8F" w:rsidP="009635F8">
            <w:pPr>
              <w:jc w:val="right"/>
              <w:rPr>
                <w:rFonts w:ascii="Arial" w:hAnsi="Arial" w:cs="Arial"/>
                <w:sz w:val="20"/>
                <w:szCs w:val="20"/>
                <w:lang w:val="en-IN" w:eastAsia="en-IN"/>
              </w:rPr>
            </w:pPr>
            <w:r w:rsidRPr="00663A8F">
              <w:rPr>
                <w:rFonts w:ascii="Arial" w:hAnsi="Arial" w:cs="Arial"/>
                <w:sz w:val="20"/>
                <w:szCs w:val="20"/>
                <w:lang w:val="en-IN" w:eastAsia="en-IN"/>
              </w:rPr>
              <w:t xml:space="preserve">             </w:t>
            </w:r>
            <w:r w:rsidR="00A91C69">
              <w:rPr>
                <w:rFonts w:ascii="Arial" w:hAnsi="Arial" w:cs="Arial"/>
                <w:sz w:val="20"/>
                <w:szCs w:val="20"/>
                <w:lang w:val="en-IN" w:eastAsia="en-IN"/>
              </w:rPr>
              <w:t>9.49</w:t>
            </w:r>
          </w:p>
        </w:tc>
      </w:tr>
      <w:tr w:rsidR="009635F8"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9635F8" w:rsidRPr="00663A8F" w:rsidRDefault="009635F8"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4</w:t>
            </w:r>
          </w:p>
        </w:tc>
        <w:tc>
          <w:tcPr>
            <w:tcW w:w="5611" w:type="dxa"/>
            <w:tcBorders>
              <w:top w:val="nil"/>
              <w:left w:val="nil"/>
              <w:bottom w:val="single" w:sz="4" w:space="0" w:color="auto"/>
              <w:right w:val="single" w:sz="4" w:space="0" w:color="auto"/>
            </w:tcBorders>
            <w:shd w:val="clear" w:color="auto" w:fill="auto"/>
            <w:hideMark/>
          </w:tcPr>
          <w:p w:rsidR="009635F8" w:rsidRPr="00663A8F" w:rsidRDefault="00C701A5" w:rsidP="00663A8F">
            <w:pPr>
              <w:rPr>
                <w:rFonts w:ascii="Arial" w:hAnsi="Arial" w:cs="Arial"/>
                <w:sz w:val="20"/>
                <w:szCs w:val="20"/>
                <w:lang w:val="en-IN" w:eastAsia="en-IN"/>
              </w:rPr>
            </w:pPr>
            <w:r>
              <w:rPr>
                <w:rFonts w:ascii="Arial" w:hAnsi="Arial" w:cs="Arial"/>
                <w:sz w:val="20"/>
                <w:szCs w:val="20"/>
                <w:lang w:val="en-IN" w:eastAsia="en-IN"/>
              </w:rPr>
              <w:t>Estimated payment during 2020-21</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Default="00A91C69">
            <w:pPr>
              <w:jc w:val="right"/>
              <w:rPr>
                <w:rFonts w:ascii="Arial" w:hAnsi="Arial" w:cs="Arial"/>
                <w:sz w:val="20"/>
                <w:szCs w:val="20"/>
              </w:rPr>
            </w:pPr>
            <w:r>
              <w:rPr>
                <w:rFonts w:ascii="Arial" w:hAnsi="Arial" w:cs="Arial"/>
                <w:sz w:val="20"/>
                <w:szCs w:val="20"/>
              </w:rPr>
              <w:t>156.87</w:t>
            </w:r>
          </w:p>
        </w:tc>
      </w:tr>
      <w:tr w:rsidR="009635F8" w:rsidRPr="00663A8F" w:rsidTr="00663A8F">
        <w:trPr>
          <w:trHeight w:val="241"/>
        </w:trPr>
        <w:tc>
          <w:tcPr>
            <w:tcW w:w="500" w:type="dxa"/>
            <w:tcBorders>
              <w:top w:val="nil"/>
              <w:left w:val="single" w:sz="8" w:space="0" w:color="auto"/>
              <w:bottom w:val="single" w:sz="4" w:space="0" w:color="auto"/>
              <w:right w:val="single" w:sz="4" w:space="0" w:color="auto"/>
            </w:tcBorders>
            <w:shd w:val="clear" w:color="auto" w:fill="auto"/>
            <w:noWrap/>
            <w:hideMark/>
          </w:tcPr>
          <w:p w:rsidR="009635F8" w:rsidRPr="00663A8F" w:rsidRDefault="009635F8"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5</w:t>
            </w:r>
          </w:p>
        </w:tc>
        <w:tc>
          <w:tcPr>
            <w:tcW w:w="5611" w:type="dxa"/>
            <w:tcBorders>
              <w:top w:val="nil"/>
              <w:left w:val="nil"/>
              <w:bottom w:val="single" w:sz="4" w:space="0" w:color="auto"/>
              <w:right w:val="single" w:sz="4" w:space="0" w:color="auto"/>
            </w:tcBorders>
            <w:shd w:val="clear" w:color="auto" w:fill="auto"/>
            <w:hideMark/>
          </w:tcPr>
          <w:p w:rsidR="009635F8" w:rsidRPr="00663A8F" w:rsidRDefault="009635F8" w:rsidP="00663A8F">
            <w:pPr>
              <w:rPr>
                <w:rFonts w:ascii="Arial" w:hAnsi="Arial" w:cs="Arial"/>
                <w:sz w:val="20"/>
                <w:szCs w:val="20"/>
                <w:lang w:val="en-IN" w:eastAsia="en-IN"/>
              </w:rPr>
            </w:pPr>
            <w:r w:rsidRPr="00663A8F">
              <w:rPr>
                <w:rFonts w:ascii="Arial" w:hAnsi="Arial" w:cs="Arial"/>
                <w:sz w:val="20"/>
                <w:szCs w:val="20"/>
                <w:lang w:val="en-IN" w:eastAsia="en-IN"/>
              </w:rPr>
              <w:t>Terminal benefit</w:t>
            </w:r>
            <w:r>
              <w:rPr>
                <w:rFonts w:ascii="Arial" w:hAnsi="Arial" w:cs="Arial"/>
                <w:sz w:val="20"/>
                <w:szCs w:val="20"/>
                <w:lang w:val="en-IN" w:eastAsia="en-IN"/>
              </w:rPr>
              <w:t xml:space="preserve"> tr</w:t>
            </w:r>
            <w:r w:rsidR="00C701A5">
              <w:rPr>
                <w:rFonts w:ascii="Arial" w:hAnsi="Arial" w:cs="Arial"/>
                <w:sz w:val="20"/>
                <w:szCs w:val="20"/>
                <w:lang w:val="en-IN" w:eastAsia="en-IN"/>
              </w:rPr>
              <w:t>ust funding required for 2020-21</w:t>
            </w:r>
            <w:r w:rsidRPr="00663A8F">
              <w:rPr>
                <w:rFonts w:ascii="Arial" w:hAnsi="Arial" w:cs="Arial"/>
                <w:sz w:val="20"/>
                <w:szCs w:val="20"/>
                <w:lang w:val="en-IN" w:eastAsia="en-IN"/>
              </w:rPr>
              <w:t xml:space="preserve"> (1-2-3+4)</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Default="00A91C69">
            <w:pPr>
              <w:jc w:val="right"/>
              <w:rPr>
                <w:rFonts w:ascii="Arial" w:hAnsi="Arial" w:cs="Arial"/>
                <w:b/>
                <w:bCs/>
                <w:sz w:val="20"/>
                <w:szCs w:val="20"/>
              </w:rPr>
            </w:pPr>
            <w:r>
              <w:rPr>
                <w:rFonts w:ascii="Arial" w:hAnsi="Arial" w:cs="Arial"/>
                <w:b/>
                <w:bCs/>
                <w:sz w:val="20"/>
                <w:szCs w:val="20"/>
              </w:rPr>
              <w:t>147.28</w:t>
            </w:r>
          </w:p>
        </w:tc>
      </w:tr>
      <w:tr w:rsidR="009635F8" w:rsidRPr="00663A8F" w:rsidTr="00663A8F">
        <w:trPr>
          <w:trHeight w:val="270"/>
        </w:trPr>
        <w:tc>
          <w:tcPr>
            <w:tcW w:w="500" w:type="dxa"/>
            <w:tcBorders>
              <w:top w:val="nil"/>
              <w:left w:val="single" w:sz="8" w:space="0" w:color="auto"/>
              <w:bottom w:val="single" w:sz="4" w:space="0" w:color="auto"/>
              <w:right w:val="single" w:sz="4" w:space="0" w:color="auto"/>
            </w:tcBorders>
            <w:shd w:val="clear" w:color="auto" w:fill="auto"/>
            <w:noWrap/>
            <w:vAlign w:val="bottom"/>
            <w:hideMark/>
          </w:tcPr>
          <w:p w:rsidR="009635F8" w:rsidRPr="00663A8F" w:rsidRDefault="009635F8" w:rsidP="000636F8">
            <w:pPr>
              <w:jc w:val="right"/>
              <w:rPr>
                <w:rFonts w:ascii="Arial" w:hAnsi="Arial" w:cs="Arial"/>
                <w:b/>
                <w:bCs/>
                <w:sz w:val="20"/>
                <w:szCs w:val="20"/>
                <w:lang w:val="en-IN" w:eastAsia="en-IN"/>
              </w:rPr>
            </w:pPr>
            <w:r>
              <w:rPr>
                <w:rFonts w:ascii="Arial" w:hAnsi="Arial" w:cs="Arial"/>
                <w:b/>
                <w:bCs/>
                <w:sz w:val="20"/>
                <w:szCs w:val="20"/>
                <w:lang w:val="en-IN" w:eastAsia="en-IN"/>
              </w:rPr>
              <w:t>6</w:t>
            </w:r>
          </w:p>
        </w:tc>
        <w:tc>
          <w:tcPr>
            <w:tcW w:w="5611" w:type="dxa"/>
            <w:tcBorders>
              <w:top w:val="nil"/>
              <w:left w:val="nil"/>
              <w:bottom w:val="single" w:sz="4" w:space="0" w:color="auto"/>
              <w:right w:val="single" w:sz="4" w:space="0" w:color="auto"/>
            </w:tcBorders>
            <w:shd w:val="clear" w:color="auto" w:fill="auto"/>
            <w:noWrap/>
            <w:vAlign w:val="bottom"/>
            <w:hideMark/>
          </w:tcPr>
          <w:p w:rsidR="009635F8" w:rsidRPr="00663A8F" w:rsidRDefault="009635F8" w:rsidP="00663A8F">
            <w:pPr>
              <w:rPr>
                <w:rFonts w:ascii="Arial" w:hAnsi="Arial" w:cs="Arial"/>
                <w:sz w:val="20"/>
                <w:szCs w:val="20"/>
                <w:lang w:val="en-IN" w:eastAsia="en-IN"/>
              </w:rPr>
            </w:pPr>
            <w:r>
              <w:rPr>
                <w:rFonts w:ascii="Arial" w:hAnsi="Arial" w:cs="Arial"/>
                <w:sz w:val="20"/>
                <w:szCs w:val="20"/>
                <w:lang w:val="en-IN" w:eastAsia="en-IN"/>
              </w:rPr>
              <w:t>Employer’s Contribution to PF Trust</w:t>
            </w:r>
            <w:r w:rsidRPr="00663A8F">
              <w:rPr>
                <w:rFonts w:ascii="Arial" w:hAnsi="Arial" w:cs="Arial"/>
                <w:sz w:val="20"/>
                <w:szCs w:val="20"/>
                <w:lang w:val="en-IN" w:eastAsia="en-IN"/>
              </w:rPr>
              <w:t> </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Default="009635F8">
            <w:pPr>
              <w:jc w:val="right"/>
              <w:rPr>
                <w:rFonts w:ascii="Arial" w:hAnsi="Arial" w:cs="Arial"/>
                <w:b/>
                <w:bCs/>
                <w:sz w:val="20"/>
                <w:szCs w:val="20"/>
              </w:rPr>
            </w:pPr>
            <w:r>
              <w:rPr>
                <w:rFonts w:ascii="Arial" w:hAnsi="Arial" w:cs="Arial"/>
                <w:b/>
                <w:bCs/>
                <w:sz w:val="20"/>
                <w:szCs w:val="20"/>
              </w:rPr>
              <w:t>6.</w:t>
            </w:r>
            <w:r w:rsidR="00A91C69">
              <w:rPr>
                <w:rFonts w:ascii="Arial" w:hAnsi="Arial" w:cs="Arial"/>
                <w:b/>
                <w:bCs/>
                <w:sz w:val="20"/>
                <w:szCs w:val="20"/>
              </w:rPr>
              <w:t>54</w:t>
            </w:r>
          </w:p>
        </w:tc>
      </w:tr>
      <w:tr w:rsidR="000636F8" w:rsidRPr="00663A8F" w:rsidTr="00663A8F">
        <w:trPr>
          <w:trHeight w:val="270"/>
        </w:trPr>
        <w:tc>
          <w:tcPr>
            <w:tcW w:w="500" w:type="dxa"/>
            <w:tcBorders>
              <w:top w:val="nil"/>
              <w:left w:val="single" w:sz="8" w:space="0" w:color="auto"/>
              <w:bottom w:val="single" w:sz="4" w:space="0" w:color="auto"/>
              <w:right w:val="single" w:sz="4" w:space="0" w:color="auto"/>
            </w:tcBorders>
            <w:shd w:val="clear" w:color="auto" w:fill="auto"/>
            <w:noWrap/>
            <w:vAlign w:val="bottom"/>
            <w:hideMark/>
          </w:tcPr>
          <w:p w:rsidR="000636F8" w:rsidRPr="009635F8" w:rsidRDefault="000636F8" w:rsidP="000636F8">
            <w:pPr>
              <w:jc w:val="right"/>
              <w:rPr>
                <w:rFonts w:ascii="Arial" w:hAnsi="Arial" w:cs="Arial"/>
                <w:bCs/>
                <w:sz w:val="20"/>
                <w:szCs w:val="20"/>
                <w:lang w:val="en-IN" w:eastAsia="en-IN"/>
              </w:rPr>
            </w:pPr>
            <w:r w:rsidRPr="009635F8">
              <w:rPr>
                <w:rFonts w:ascii="Arial" w:hAnsi="Arial" w:cs="Arial"/>
                <w:bCs/>
                <w:sz w:val="20"/>
                <w:szCs w:val="20"/>
                <w:lang w:val="en-IN" w:eastAsia="en-IN"/>
              </w:rPr>
              <w:t>7</w:t>
            </w:r>
          </w:p>
        </w:tc>
        <w:tc>
          <w:tcPr>
            <w:tcW w:w="5611" w:type="dxa"/>
            <w:tcBorders>
              <w:top w:val="nil"/>
              <w:left w:val="nil"/>
              <w:bottom w:val="single" w:sz="4" w:space="0" w:color="auto"/>
              <w:right w:val="single" w:sz="4" w:space="0" w:color="auto"/>
            </w:tcBorders>
            <w:shd w:val="clear" w:color="auto" w:fill="auto"/>
            <w:noWrap/>
            <w:vAlign w:val="bottom"/>
            <w:hideMark/>
          </w:tcPr>
          <w:p w:rsidR="000636F8" w:rsidRPr="009635F8" w:rsidRDefault="000636F8" w:rsidP="00663A8F">
            <w:pPr>
              <w:rPr>
                <w:rFonts w:ascii="Arial" w:hAnsi="Arial" w:cs="Arial"/>
                <w:sz w:val="20"/>
                <w:szCs w:val="20"/>
                <w:lang w:val="en-IN" w:eastAsia="en-IN"/>
              </w:rPr>
            </w:pPr>
            <w:r w:rsidRPr="009635F8">
              <w:rPr>
                <w:rFonts w:ascii="Arial" w:hAnsi="Arial" w:cs="Arial"/>
                <w:sz w:val="20"/>
                <w:szCs w:val="20"/>
                <w:lang w:val="en-IN" w:eastAsia="en-IN"/>
              </w:rPr>
              <w:t>Total Terminal Benefits Provision</w:t>
            </w:r>
          </w:p>
        </w:tc>
        <w:tc>
          <w:tcPr>
            <w:tcW w:w="1701" w:type="dxa"/>
            <w:tcBorders>
              <w:top w:val="nil"/>
              <w:left w:val="nil"/>
              <w:bottom w:val="single" w:sz="4" w:space="0" w:color="auto"/>
              <w:right w:val="single" w:sz="8" w:space="0" w:color="auto"/>
            </w:tcBorders>
            <w:shd w:val="clear" w:color="auto" w:fill="auto"/>
            <w:noWrap/>
            <w:vAlign w:val="bottom"/>
            <w:hideMark/>
          </w:tcPr>
          <w:p w:rsidR="000636F8" w:rsidRPr="000636F8" w:rsidRDefault="009635F8" w:rsidP="00663A8F">
            <w:pPr>
              <w:jc w:val="right"/>
              <w:rPr>
                <w:rFonts w:ascii="Arial" w:hAnsi="Arial" w:cs="Arial"/>
                <w:b/>
                <w:sz w:val="20"/>
                <w:szCs w:val="20"/>
                <w:lang w:val="en-IN" w:eastAsia="en-IN"/>
              </w:rPr>
            </w:pPr>
            <w:r>
              <w:rPr>
                <w:rFonts w:ascii="Arial" w:hAnsi="Arial" w:cs="Arial"/>
                <w:b/>
                <w:sz w:val="20"/>
                <w:szCs w:val="20"/>
                <w:lang w:val="en-IN" w:eastAsia="en-IN"/>
              </w:rPr>
              <w:t>1</w:t>
            </w:r>
            <w:r w:rsidR="00A91C69">
              <w:rPr>
                <w:rFonts w:ascii="Arial" w:hAnsi="Arial" w:cs="Arial"/>
                <w:b/>
                <w:sz w:val="20"/>
                <w:szCs w:val="20"/>
                <w:lang w:val="en-IN" w:eastAsia="en-IN"/>
              </w:rPr>
              <w:t>53.82</w:t>
            </w:r>
          </w:p>
        </w:tc>
      </w:tr>
      <w:tr w:rsidR="00663A8F"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vAlign w:val="bottom"/>
            <w:hideMark/>
          </w:tcPr>
          <w:p w:rsidR="00663A8F" w:rsidRPr="00663A8F" w:rsidRDefault="00663A8F" w:rsidP="00663A8F">
            <w:pPr>
              <w:rPr>
                <w:rFonts w:ascii="Arial" w:hAnsi="Arial" w:cs="Arial"/>
                <w:b/>
                <w:bCs/>
                <w:sz w:val="20"/>
                <w:szCs w:val="20"/>
                <w:lang w:val="en-IN" w:eastAsia="en-IN"/>
              </w:rPr>
            </w:pPr>
            <w:r w:rsidRPr="00663A8F">
              <w:rPr>
                <w:rFonts w:ascii="Arial" w:hAnsi="Arial" w:cs="Arial"/>
                <w:b/>
                <w:bCs/>
                <w:sz w:val="20"/>
                <w:szCs w:val="20"/>
                <w:lang w:val="en-IN" w:eastAsia="en-IN"/>
              </w:rPr>
              <w:t>B</w:t>
            </w:r>
          </w:p>
        </w:tc>
        <w:tc>
          <w:tcPr>
            <w:tcW w:w="5611" w:type="dxa"/>
            <w:tcBorders>
              <w:top w:val="nil"/>
              <w:left w:val="nil"/>
              <w:bottom w:val="single" w:sz="4" w:space="0" w:color="auto"/>
              <w:right w:val="single" w:sz="4" w:space="0" w:color="auto"/>
            </w:tcBorders>
            <w:shd w:val="clear" w:color="auto" w:fill="auto"/>
            <w:hideMark/>
          </w:tcPr>
          <w:p w:rsidR="00663A8F" w:rsidRPr="00663A8F" w:rsidRDefault="00663A8F" w:rsidP="00663A8F">
            <w:pPr>
              <w:rPr>
                <w:rFonts w:ascii="Arial" w:hAnsi="Arial" w:cs="Arial"/>
                <w:b/>
                <w:bCs/>
                <w:sz w:val="20"/>
                <w:szCs w:val="20"/>
                <w:lang w:val="en-IN" w:eastAsia="en-IN"/>
              </w:rPr>
            </w:pPr>
            <w:r w:rsidRPr="00663A8F">
              <w:rPr>
                <w:rFonts w:ascii="Arial" w:hAnsi="Arial" w:cs="Arial"/>
                <w:b/>
                <w:bCs/>
                <w:sz w:val="20"/>
                <w:szCs w:val="20"/>
                <w:lang w:val="en-IN" w:eastAsia="en-IN"/>
              </w:rPr>
              <w:t>Ex</w:t>
            </w:r>
            <w:r w:rsidR="009635F8">
              <w:rPr>
                <w:rFonts w:ascii="Arial" w:hAnsi="Arial" w:cs="Arial"/>
                <w:b/>
                <w:bCs/>
                <w:sz w:val="20"/>
                <w:szCs w:val="20"/>
                <w:lang w:val="en-IN" w:eastAsia="en-IN"/>
              </w:rPr>
              <w:t>pected Corpus Availability FY 1</w:t>
            </w:r>
            <w:r w:rsidR="00C701A5">
              <w:rPr>
                <w:rFonts w:ascii="Arial" w:hAnsi="Arial" w:cs="Arial"/>
                <w:b/>
                <w:bCs/>
                <w:sz w:val="20"/>
                <w:szCs w:val="20"/>
                <w:lang w:val="en-IN" w:eastAsia="en-IN"/>
              </w:rPr>
              <w:t>9-20</w:t>
            </w:r>
          </w:p>
        </w:tc>
        <w:tc>
          <w:tcPr>
            <w:tcW w:w="1701" w:type="dxa"/>
            <w:tcBorders>
              <w:top w:val="nil"/>
              <w:left w:val="nil"/>
              <w:bottom w:val="single" w:sz="4" w:space="0" w:color="auto"/>
              <w:right w:val="single" w:sz="8" w:space="0" w:color="auto"/>
            </w:tcBorders>
            <w:shd w:val="clear" w:color="auto" w:fill="auto"/>
            <w:noWrap/>
            <w:vAlign w:val="bottom"/>
            <w:hideMark/>
          </w:tcPr>
          <w:p w:rsidR="00663A8F" w:rsidRPr="00663A8F" w:rsidRDefault="00663A8F" w:rsidP="00663A8F">
            <w:pPr>
              <w:jc w:val="right"/>
              <w:rPr>
                <w:rFonts w:ascii="Arial" w:hAnsi="Arial" w:cs="Arial"/>
                <w:sz w:val="20"/>
                <w:szCs w:val="20"/>
                <w:lang w:val="en-IN" w:eastAsia="en-IN"/>
              </w:rPr>
            </w:pPr>
            <w:r w:rsidRPr="00663A8F">
              <w:rPr>
                <w:rFonts w:ascii="Arial" w:hAnsi="Arial" w:cs="Arial"/>
                <w:sz w:val="20"/>
                <w:szCs w:val="20"/>
                <w:lang w:val="en-IN" w:eastAsia="en-IN"/>
              </w:rPr>
              <w:t> </w:t>
            </w:r>
          </w:p>
        </w:tc>
      </w:tr>
      <w:tr w:rsidR="00663A8F"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663A8F" w:rsidRPr="00663A8F" w:rsidRDefault="00663A8F"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1</w:t>
            </w:r>
          </w:p>
        </w:tc>
        <w:tc>
          <w:tcPr>
            <w:tcW w:w="5611" w:type="dxa"/>
            <w:tcBorders>
              <w:top w:val="nil"/>
              <w:left w:val="nil"/>
              <w:bottom w:val="single" w:sz="4" w:space="0" w:color="auto"/>
              <w:right w:val="single" w:sz="4" w:space="0" w:color="auto"/>
            </w:tcBorders>
            <w:shd w:val="clear" w:color="auto" w:fill="auto"/>
            <w:hideMark/>
          </w:tcPr>
          <w:p w:rsidR="00663A8F" w:rsidRPr="00663A8F" w:rsidRDefault="00663A8F" w:rsidP="00663A8F">
            <w:pPr>
              <w:rPr>
                <w:rFonts w:ascii="Arial" w:hAnsi="Arial" w:cs="Arial"/>
                <w:sz w:val="20"/>
                <w:szCs w:val="20"/>
                <w:lang w:val="en-IN" w:eastAsia="en-IN"/>
              </w:rPr>
            </w:pPr>
            <w:r w:rsidRPr="00663A8F">
              <w:rPr>
                <w:rFonts w:ascii="Arial" w:hAnsi="Arial" w:cs="Arial"/>
                <w:sz w:val="20"/>
                <w:szCs w:val="20"/>
                <w:lang w:val="en-IN" w:eastAsia="en-IN"/>
              </w:rPr>
              <w:t>Employe</w:t>
            </w:r>
            <w:r w:rsidR="009635F8">
              <w:rPr>
                <w:rFonts w:ascii="Arial" w:hAnsi="Arial" w:cs="Arial"/>
                <w:sz w:val="20"/>
                <w:szCs w:val="20"/>
                <w:lang w:val="en-IN" w:eastAsia="en-IN"/>
              </w:rPr>
              <w:t>e Trust Valuation as on 31.03.</w:t>
            </w:r>
            <w:r w:rsidR="00C701A5">
              <w:rPr>
                <w:rFonts w:ascii="Arial" w:hAnsi="Arial" w:cs="Arial"/>
                <w:sz w:val="20"/>
                <w:szCs w:val="20"/>
                <w:lang w:val="en-IN" w:eastAsia="en-IN"/>
              </w:rPr>
              <w:t>20</w:t>
            </w:r>
          </w:p>
        </w:tc>
        <w:tc>
          <w:tcPr>
            <w:tcW w:w="1701" w:type="dxa"/>
            <w:tcBorders>
              <w:top w:val="nil"/>
              <w:left w:val="nil"/>
              <w:bottom w:val="single" w:sz="4" w:space="0" w:color="auto"/>
              <w:right w:val="single" w:sz="8" w:space="0" w:color="auto"/>
            </w:tcBorders>
            <w:shd w:val="clear" w:color="auto" w:fill="auto"/>
            <w:noWrap/>
            <w:vAlign w:val="bottom"/>
            <w:hideMark/>
          </w:tcPr>
          <w:p w:rsidR="00663A8F" w:rsidRPr="00663A8F" w:rsidRDefault="00A91C69" w:rsidP="009635F8">
            <w:pPr>
              <w:jc w:val="right"/>
              <w:rPr>
                <w:rFonts w:ascii="Arial" w:hAnsi="Arial" w:cs="Arial"/>
                <w:sz w:val="20"/>
                <w:szCs w:val="20"/>
                <w:lang w:val="en-IN" w:eastAsia="en-IN"/>
              </w:rPr>
            </w:pPr>
            <w:r>
              <w:rPr>
                <w:rFonts w:ascii="Arial" w:hAnsi="Arial" w:cs="Arial"/>
                <w:sz w:val="20"/>
                <w:szCs w:val="20"/>
              </w:rPr>
              <w:t>1115.80</w:t>
            </w:r>
          </w:p>
        </w:tc>
      </w:tr>
      <w:tr w:rsidR="009635F8"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9635F8" w:rsidRPr="00663A8F" w:rsidRDefault="009635F8"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2</w:t>
            </w:r>
          </w:p>
        </w:tc>
        <w:tc>
          <w:tcPr>
            <w:tcW w:w="5611" w:type="dxa"/>
            <w:tcBorders>
              <w:top w:val="nil"/>
              <w:left w:val="nil"/>
              <w:bottom w:val="single" w:sz="4" w:space="0" w:color="auto"/>
              <w:right w:val="single" w:sz="4" w:space="0" w:color="auto"/>
            </w:tcBorders>
            <w:shd w:val="clear" w:color="auto" w:fill="auto"/>
            <w:hideMark/>
          </w:tcPr>
          <w:p w:rsidR="009635F8" w:rsidRPr="00663A8F" w:rsidRDefault="009635F8" w:rsidP="00663A8F">
            <w:pPr>
              <w:rPr>
                <w:rFonts w:ascii="Arial" w:hAnsi="Arial" w:cs="Arial"/>
                <w:sz w:val="20"/>
                <w:szCs w:val="20"/>
                <w:lang w:val="en-IN" w:eastAsia="en-IN"/>
              </w:rPr>
            </w:pPr>
            <w:r w:rsidRPr="00663A8F">
              <w:rPr>
                <w:rFonts w:ascii="Arial" w:hAnsi="Arial" w:cs="Arial"/>
                <w:sz w:val="20"/>
                <w:szCs w:val="20"/>
                <w:lang w:val="en-IN" w:eastAsia="en-IN"/>
              </w:rPr>
              <w:t>Employe</w:t>
            </w:r>
            <w:r>
              <w:rPr>
                <w:rFonts w:ascii="Arial" w:hAnsi="Arial" w:cs="Arial"/>
                <w:sz w:val="20"/>
                <w:szCs w:val="20"/>
                <w:lang w:val="en-IN" w:eastAsia="en-IN"/>
              </w:rPr>
              <w:t>e Trust Valuation as on 31.03.</w:t>
            </w:r>
            <w:r w:rsidR="00C701A5">
              <w:rPr>
                <w:rFonts w:ascii="Arial" w:hAnsi="Arial" w:cs="Arial"/>
                <w:sz w:val="20"/>
                <w:szCs w:val="20"/>
                <w:lang w:val="en-IN" w:eastAsia="en-IN"/>
              </w:rPr>
              <w:t>19</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Default="009635F8">
            <w:pPr>
              <w:jc w:val="right"/>
              <w:rPr>
                <w:rFonts w:ascii="Arial" w:hAnsi="Arial" w:cs="Arial"/>
                <w:sz w:val="20"/>
                <w:szCs w:val="20"/>
              </w:rPr>
            </w:pPr>
            <w:r>
              <w:rPr>
                <w:rFonts w:ascii="Arial" w:hAnsi="Arial" w:cs="Arial"/>
                <w:sz w:val="20"/>
                <w:szCs w:val="20"/>
              </w:rPr>
              <w:t>1</w:t>
            </w:r>
            <w:r w:rsidR="00A91C69">
              <w:rPr>
                <w:rFonts w:ascii="Arial" w:hAnsi="Arial" w:cs="Arial"/>
                <w:sz w:val="20"/>
                <w:szCs w:val="20"/>
              </w:rPr>
              <w:t>11</w:t>
            </w:r>
            <w:r w:rsidR="007F66F8">
              <w:rPr>
                <w:rFonts w:ascii="Arial" w:hAnsi="Arial" w:cs="Arial"/>
                <w:sz w:val="20"/>
                <w:szCs w:val="20"/>
              </w:rPr>
              <w:t>1.24</w:t>
            </w:r>
          </w:p>
        </w:tc>
      </w:tr>
      <w:tr w:rsidR="009635F8"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9635F8" w:rsidRPr="00663A8F" w:rsidRDefault="009635F8"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3</w:t>
            </w:r>
          </w:p>
        </w:tc>
        <w:tc>
          <w:tcPr>
            <w:tcW w:w="5611" w:type="dxa"/>
            <w:tcBorders>
              <w:top w:val="nil"/>
              <w:left w:val="nil"/>
              <w:bottom w:val="single" w:sz="4" w:space="0" w:color="auto"/>
              <w:right w:val="single" w:sz="4" w:space="0" w:color="auto"/>
            </w:tcBorders>
            <w:shd w:val="clear" w:color="auto" w:fill="auto"/>
            <w:hideMark/>
          </w:tcPr>
          <w:p w:rsidR="009635F8" w:rsidRPr="00663A8F" w:rsidRDefault="009635F8" w:rsidP="00D64B81">
            <w:pPr>
              <w:rPr>
                <w:rFonts w:ascii="Arial" w:hAnsi="Arial" w:cs="Arial"/>
                <w:sz w:val="20"/>
                <w:szCs w:val="20"/>
                <w:lang w:val="en-IN" w:eastAsia="en-IN"/>
              </w:rPr>
            </w:pPr>
            <w:r w:rsidRPr="00663A8F">
              <w:rPr>
                <w:rFonts w:ascii="Arial" w:hAnsi="Arial" w:cs="Arial"/>
                <w:sz w:val="20"/>
                <w:szCs w:val="20"/>
                <w:lang w:val="en-IN" w:eastAsia="en-IN"/>
              </w:rPr>
              <w:t>Interes</w:t>
            </w:r>
            <w:r w:rsidR="00C701A5">
              <w:rPr>
                <w:rFonts w:ascii="Arial" w:hAnsi="Arial" w:cs="Arial"/>
                <w:sz w:val="20"/>
                <w:szCs w:val="20"/>
                <w:lang w:val="en-IN" w:eastAsia="en-IN"/>
              </w:rPr>
              <w:t>t on investment during 2019-20</w:t>
            </w:r>
            <w:r>
              <w:rPr>
                <w:rFonts w:ascii="Arial" w:hAnsi="Arial" w:cs="Arial"/>
                <w:sz w:val="20"/>
                <w:szCs w:val="20"/>
                <w:lang w:val="en-IN" w:eastAsia="en-IN"/>
              </w:rPr>
              <w:t xml:space="preserve"> @ 7.</w:t>
            </w:r>
            <w:r w:rsidR="00C701A5">
              <w:rPr>
                <w:rFonts w:ascii="Arial" w:hAnsi="Arial" w:cs="Arial"/>
                <w:sz w:val="20"/>
                <w:szCs w:val="20"/>
                <w:lang w:val="en-IN" w:eastAsia="en-IN"/>
              </w:rPr>
              <w:t>5</w:t>
            </w:r>
            <w:r w:rsidR="00D64B81">
              <w:rPr>
                <w:rFonts w:ascii="Arial" w:hAnsi="Arial" w:cs="Arial"/>
                <w:sz w:val="20"/>
                <w:szCs w:val="20"/>
                <w:lang w:val="en-IN" w:eastAsia="en-IN"/>
              </w:rPr>
              <w:t>0</w:t>
            </w:r>
            <w:r w:rsidRPr="00663A8F">
              <w:rPr>
                <w:rFonts w:ascii="Arial" w:hAnsi="Arial" w:cs="Arial"/>
                <w:sz w:val="20"/>
                <w:szCs w:val="20"/>
                <w:lang w:val="en-IN" w:eastAsia="en-IN"/>
              </w:rPr>
              <w:t xml:space="preserve"> %</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Pr="00663A8F" w:rsidRDefault="00D64B81" w:rsidP="00663A8F">
            <w:pPr>
              <w:jc w:val="right"/>
              <w:rPr>
                <w:rFonts w:ascii="Arial" w:hAnsi="Arial" w:cs="Arial"/>
                <w:sz w:val="20"/>
                <w:szCs w:val="20"/>
                <w:lang w:val="en-IN" w:eastAsia="en-IN"/>
              </w:rPr>
            </w:pPr>
            <w:r>
              <w:rPr>
                <w:rFonts w:ascii="Arial" w:hAnsi="Arial" w:cs="Arial"/>
                <w:sz w:val="20"/>
                <w:szCs w:val="20"/>
                <w:lang w:val="en-IN" w:eastAsia="en-IN"/>
              </w:rPr>
              <w:t>1</w:t>
            </w:r>
            <w:r w:rsidR="00A91C69">
              <w:rPr>
                <w:rFonts w:ascii="Arial" w:hAnsi="Arial" w:cs="Arial"/>
                <w:sz w:val="20"/>
                <w:szCs w:val="20"/>
                <w:lang w:val="en-IN" w:eastAsia="en-IN"/>
              </w:rPr>
              <w:t>3.29</w:t>
            </w:r>
          </w:p>
        </w:tc>
      </w:tr>
      <w:tr w:rsidR="009635F8" w:rsidRPr="00663A8F" w:rsidTr="00663A8F">
        <w:trPr>
          <w:trHeight w:val="255"/>
        </w:trPr>
        <w:tc>
          <w:tcPr>
            <w:tcW w:w="500" w:type="dxa"/>
            <w:tcBorders>
              <w:top w:val="nil"/>
              <w:left w:val="single" w:sz="8" w:space="0" w:color="auto"/>
              <w:bottom w:val="single" w:sz="4" w:space="0" w:color="auto"/>
              <w:right w:val="single" w:sz="4" w:space="0" w:color="auto"/>
            </w:tcBorders>
            <w:shd w:val="clear" w:color="auto" w:fill="auto"/>
            <w:noWrap/>
            <w:hideMark/>
          </w:tcPr>
          <w:p w:rsidR="009635F8" w:rsidRPr="00663A8F" w:rsidRDefault="009635F8" w:rsidP="00663A8F">
            <w:pPr>
              <w:jc w:val="right"/>
              <w:rPr>
                <w:rFonts w:ascii="Arial" w:hAnsi="Arial" w:cs="Arial"/>
                <w:b/>
                <w:bCs/>
                <w:sz w:val="20"/>
                <w:szCs w:val="20"/>
                <w:lang w:val="en-IN" w:eastAsia="en-IN"/>
              </w:rPr>
            </w:pPr>
            <w:r w:rsidRPr="00663A8F">
              <w:rPr>
                <w:rFonts w:ascii="Arial" w:hAnsi="Arial" w:cs="Arial"/>
                <w:b/>
                <w:bCs/>
                <w:sz w:val="20"/>
                <w:szCs w:val="20"/>
                <w:lang w:val="en-IN" w:eastAsia="en-IN"/>
              </w:rPr>
              <w:t>4</w:t>
            </w:r>
          </w:p>
        </w:tc>
        <w:tc>
          <w:tcPr>
            <w:tcW w:w="5611" w:type="dxa"/>
            <w:tcBorders>
              <w:top w:val="nil"/>
              <w:left w:val="nil"/>
              <w:bottom w:val="single" w:sz="4" w:space="0" w:color="auto"/>
              <w:right w:val="single" w:sz="4" w:space="0" w:color="auto"/>
            </w:tcBorders>
            <w:shd w:val="clear" w:color="auto" w:fill="auto"/>
            <w:hideMark/>
          </w:tcPr>
          <w:p w:rsidR="009635F8" w:rsidRPr="00663A8F" w:rsidRDefault="00D64B81" w:rsidP="00663A8F">
            <w:pPr>
              <w:rPr>
                <w:rFonts w:ascii="Arial" w:hAnsi="Arial" w:cs="Arial"/>
                <w:sz w:val="20"/>
                <w:szCs w:val="20"/>
                <w:lang w:val="en-IN" w:eastAsia="en-IN"/>
              </w:rPr>
            </w:pPr>
            <w:r>
              <w:rPr>
                <w:rFonts w:ascii="Arial" w:hAnsi="Arial" w:cs="Arial"/>
                <w:sz w:val="20"/>
                <w:szCs w:val="20"/>
                <w:lang w:val="en-IN" w:eastAsia="en-IN"/>
              </w:rPr>
              <w:t>Estimated payment during 201</w:t>
            </w:r>
            <w:r w:rsidR="00C701A5">
              <w:rPr>
                <w:rFonts w:ascii="Arial" w:hAnsi="Arial" w:cs="Arial"/>
                <w:sz w:val="20"/>
                <w:szCs w:val="20"/>
                <w:lang w:val="en-IN" w:eastAsia="en-IN"/>
              </w:rPr>
              <w:t>9-20</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Pr="00663A8F" w:rsidRDefault="009635F8" w:rsidP="006C793D">
            <w:pPr>
              <w:jc w:val="right"/>
              <w:rPr>
                <w:rFonts w:ascii="Arial" w:hAnsi="Arial" w:cs="Arial"/>
                <w:sz w:val="20"/>
                <w:szCs w:val="20"/>
                <w:lang w:val="en-IN" w:eastAsia="en-IN"/>
              </w:rPr>
            </w:pPr>
            <w:r w:rsidRPr="00663A8F">
              <w:rPr>
                <w:rFonts w:ascii="Arial" w:hAnsi="Arial" w:cs="Arial"/>
                <w:sz w:val="20"/>
                <w:szCs w:val="20"/>
                <w:lang w:val="en-IN" w:eastAsia="en-IN"/>
              </w:rPr>
              <w:t xml:space="preserve">           </w:t>
            </w:r>
            <w:r w:rsidR="00A91C69">
              <w:rPr>
                <w:rFonts w:ascii="Arial" w:hAnsi="Arial" w:cs="Arial"/>
                <w:sz w:val="20"/>
                <w:szCs w:val="20"/>
                <w:lang w:val="en-IN" w:eastAsia="en-IN"/>
              </w:rPr>
              <w:t>151.19</w:t>
            </w:r>
            <w:r w:rsidRPr="00663A8F">
              <w:rPr>
                <w:rFonts w:ascii="Arial" w:hAnsi="Arial" w:cs="Arial"/>
                <w:sz w:val="20"/>
                <w:szCs w:val="20"/>
                <w:lang w:val="en-IN" w:eastAsia="en-IN"/>
              </w:rPr>
              <w:t xml:space="preserve"> </w:t>
            </w:r>
          </w:p>
        </w:tc>
      </w:tr>
      <w:tr w:rsidR="009635F8" w:rsidRPr="00663A8F" w:rsidTr="00663A8F">
        <w:trPr>
          <w:trHeight w:val="345"/>
        </w:trPr>
        <w:tc>
          <w:tcPr>
            <w:tcW w:w="500" w:type="dxa"/>
            <w:tcBorders>
              <w:top w:val="nil"/>
              <w:left w:val="single" w:sz="8" w:space="0" w:color="auto"/>
              <w:bottom w:val="single" w:sz="4" w:space="0" w:color="auto"/>
              <w:right w:val="single" w:sz="4" w:space="0" w:color="auto"/>
            </w:tcBorders>
            <w:shd w:val="clear" w:color="auto" w:fill="auto"/>
            <w:noWrap/>
            <w:hideMark/>
          </w:tcPr>
          <w:p w:rsidR="009635F8" w:rsidRPr="00663A8F" w:rsidRDefault="009635F8" w:rsidP="00D715EA">
            <w:pPr>
              <w:jc w:val="right"/>
              <w:rPr>
                <w:rFonts w:ascii="Arial" w:hAnsi="Arial" w:cs="Arial"/>
                <w:b/>
                <w:bCs/>
                <w:sz w:val="20"/>
                <w:szCs w:val="20"/>
                <w:lang w:val="en-IN" w:eastAsia="en-IN"/>
              </w:rPr>
            </w:pPr>
            <w:r w:rsidRPr="00663A8F">
              <w:rPr>
                <w:rFonts w:ascii="Arial" w:hAnsi="Arial" w:cs="Arial"/>
                <w:b/>
                <w:bCs/>
                <w:sz w:val="20"/>
                <w:szCs w:val="20"/>
                <w:lang w:val="en-IN" w:eastAsia="en-IN"/>
              </w:rPr>
              <w:t>5</w:t>
            </w:r>
          </w:p>
        </w:tc>
        <w:tc>
          <w:tcPr>
            <w:tcW w:w="5611" w:type="dxa"/>
            <w:tcBorders>
              <w:top w:val="nil"/>
              <w:left w:val="nil"/>
              <w:bottom w:val="single" w:sz="4" w:space="0" w:color="auto"/>
              <w:right w:val="single" w:sz="4" w:space="0" w:color="auto"/>
            </w:tcBorders>
            <w:shd w:val="clear" w:color="auto" w:fill="auto"/>
            <w:hideMark/>
          </w:tcPr>
          <w:p w:rsidR="009635F8" w:rsidRPr="00663A8F" w:rsidRDefault="009635F8" w:rsidP="00D715EA">
            <w:pPr>
              <w:rPr>
                <w:rFonts w:ascii="Arial" w:hAnsi="Arial" w:cs="Arial"/>
                <w:sz w:val="20"/>
                <w:szCs w:val="20"/>
                <w:lang w:val="en-IN" w:eastAsia="en-IN"/>
              </w:rPr>
            </w:pPr>
            <w:r w:rsidRPr="00663A8F">
              <w:rPr>
                <w:rFonts w:ascii="Arial" w:hAnsi="Arial" w:cs="Arial"/>
                <w:sz w:val="20"/>
                <w:szCs w:val="20"/>
                <w:lang w:val="en-IN" w:eastAsia="en-IN"/>
              </w:rPr>
              <w:t>Terminal benefit</w:t>
            </w:r>
            <w:r w:rsidR="00C701A5">
              <w:rPr>
                <w:rFonts w:ascii="Arial" w:hAnsi="Arial" w:cs="Arial"/>
                <w:sz w:val="20"/>
                <w:szCs w:val="20"/>
                <w:lang w:val="en-IN" w:eastAsia="en-IN"/>
              </w:rPr>
              <w:t xml:space="preserve"> trust funding required for 2019-20</w:t>
            </w:r>
            <w:r w:rsidRPr="00663A8F">
              <w:rPr>
                <w:rFonts w:ascii="Arial" w:hAnsi="Arial" w:cs="Arial"/>
                <w:sz w:val="20"/>
                <w:szCs w:val="20"/>
                <w:lang w:val="en-IN" w:eastAsia="en-IN"/>
              </w:rPr>
              <w:t xml:space="preserve"> (1-2-3+4)</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Pr="00663A8F" w:rsidRDefault="007F66F8" w:rsidP="00D715EA">
            <w:pPr>
              <w:jc w:val="right"/>
              <w:rPr>
                <w:rFonts w:ascii="Arial" w:hAnsi="Arial" w:cs="Arial"/>
                <w:b/>
                <w:bCs/>
                <w:sz w:val="20"/>
                <w:szCs w:val="20"/>
                <w:lang w:val="en-IN" w:eastAsia="en-IN"/>
              </w:rPr>
            </w:pPr>
            <w:r>
              <w:rPr>
                <w:rFonts w:ascii="Arial" w:hAnsi="Arial" w:cs="Arial"/>
                <w:b/>
                <w:bCs/>
                <w:sz w:val="20"/>
                <w:szCs w:val="20"/>
                <w:lang w:val="en-IN" w:eastAsia="en-IN"/>
              </w:rPr>
              <w:t>142.46</w:t>
            </w:r>
            <w:r w:rsidR="009635F8" w:rsidRPr="00663A8F">
              <w:rPr>
                <w:rFonts w:ascii="Arial" w:hAnsi="Arial" w:cs="Arial"/>
                <w:b/>
                <w:bCs/>
                <w:sz w:val="20"/>
                <w:szCs w:val="20"/>
                <w:lang w:val="en-IN" w:eastAsia="en-IN"/>
              </w:rPr>
              <w:t xml:space="preserve">            </w:t>
            </w:r>
          </w:p>
        </w:tc>
      </w:tr>
      <w:tr w:rsidR="009635F8" w:rsidRPr="00663A8F" w:rsidTr="00663A8F">
        <w:trPr>
          <w:trHeight w:val="345"/>
        </w:trPr>
        <w:tc>
          <w:tcPr>
            <w:tcW w:w="500" w:type="dxa"/>
            <w:tcBorders>
              <w:top w:val="nil"/>
              <w:left w:val="single" w:sz="8" w:space="0" w:color="auto"/>
              <w:bottom w:val="single" w:sz="4" w:space="0" w:color="auto"/>
              <w:right w:val="single" w:sz="4" w:space="0" w:color="auto"/>
            </w:tcBorders>
            <w:shd w:val="clear" w:color="auto" w:fill="auto"/>
            <w:noWrap/>
            <w:hideMark/>
          </w:tcPr>
          <w:p w:rsidR="009635F8" w:rsidRPr="00663A8F" w:rsidRDefault="009635F8" w:rsidP="00663A8F">
            <w:pPr>
              <w:jc w:val="right"/>
              <w:rPr>
                <w:rFonts w:ascii="Arial" w:hAnsi="Arial" w:cs="Arial"/>
                <w:b/>
                <w:bCs/>
                <w:sz w:val="20"/>
                <w:szCs w:val="20"/>
                <w:lang w:val="en-IN" w:eastAsia="en-IN"/>
              </w:rPr>
            </w:pPr>
            <w:r>
              <w:rPr>
                <w:rFonts w:ascii="Arial" w:hAnsi="Arial" w:cs="Arial"/>
                <w:b/>
                <w:bCs/>
                <w:sz w:val="20"/>
                <w:szCs w:val="20"/>
                <w:lang w:val="en-IN" w:eastAsia="en-IN"/>
              </w:rPr>
              <w:t>6</w:t>
            </w:r>
          </w:p>
        </w:tc>
        <w:tc>
          <w:tcPr>
            <w:tcW w:w="5611" w:type="dxa"/>
            <w:tcBorders>
              <w:top w:val="nil"/>
              <w:left w:val="nil"/>
              <w:bottom w:val="single" w:sz="4" w:space="0" w:color="auto"/>
              <w:right w:val="single" w:sz="4" w:space="0" w:color="auto"/>
            </w:tcBorders>
            <w:shd w:val="clear" w:color="auto" w:fill="auto"/>
            <w:hideMark/>
          </w:tcPr>
          <w:p w:rsidR="009635F8" w:rsidRPr="00663A8F" w:rsidRDefault="009635F8" w:rsidP="00663A8F">
            <w:pPr>
              <w:rPr>
                <w:rFonts w:ascii="Arial" w:hAnsi="Arial" w:cs="Arial"/>
                <w:sz w:val="20"/>
                <w:szCs w:val="20"/>
                <w:lang w:val="en-IN" w:eastAsia="en-IN"/>
              </w:rPr>
            </w:pPr>
            <w:r>
              <w:rPr>
                <w:rFonts w:ascii="Arial" w:hAnsi="Arial" w:cs="Arial"/>
                <w:sz w:val="20"/>
                <w:szCs w:val="20"/>
                <w:lang w:val="en-IN" w:eastAsia="en-IN"/>
              </w:rPr>
              <w:t>Employer’s Contribution to PF Trust</w:t>
            </w:r>
            <w:r w:rsidRPr="00663A8F">
              <w:rPr>
                <w:rFonts w:ascii="Arial" w:hAnsi="Arial" w:cs="Arial"/>
                <w:sz w:val="20"/>
                <w:szCs w:val="20"/>
                <w:lang w:val="en-IN" w:eastAsia="en-IN"/>
              </w:rPr>
              <w:t> </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Pr="00663A8F" w:rsidRDefault="00D64B81" w:rsidP="006C793D">
            <w:pPr>
              <w:jc w:val="right"/>
              <w:rPr>
                <w:rFonts w:ascii="Arial" w:hAnsi="Arial" w:cs="Arial"/>
                <w:b/>
                <w:bCs/>
                <w:sz w:val="20"/>
                <w:szCs w:val="20"/>
                <w:lang w:val="en-IN" w:eastAsia="en-IN"/>
              </w:rPr>
            </w:pPr>
            <w:r>
              <w:rPr>
                <w:rFonts w:ascii="Arial" w:hAnsi="Arial" w:cs="Arial"/>
                <w:b/>
                <w:bCs/>
                <w:sz w:val="20"/>
                <w:szCs w:val="20"/>
                <w:lang w:val="en-IN" w:eastAsia="en-IN"/>
              </w:rPr>
              <w:t>6.</w:t>
            </w:r>
            <w:r w:rsidR="00A91C69">
              <w:rPr>
                <w:rFonts w:ascii="Arial" w:hAnsi="Arial" w:cs="Arial"/>
                <w:b/>
                <w:bCs/>
                <w:sz w:val="20"/>
                <w:szCs w:val="20"/>
                <w:lang w:val="en-IN" w:eastAsia="en-IN"/>
              </w:rPr>
              <w:t>17</w:t>
            </w:r>
          </w:p>
        </w:tc>
      </w:tr>
      <w:tr w:rsidR="009635F8" w:rsidRPr="00663A8F" w:rsidTr="00663A8F">
        <w:trPr>
          <w:trHeight w:val="345"/>
        </w:trPr>
        <w:tc>
          <w:tcPr>
            <w:tcW w:w="500" w:type="dxa"/>
            <w:tcBorders>
              <w:top w:val="nil"/>
              <w:left w:val="single" w:sz="8" w:space="0" w:color="auto"/>
              <w:bottom w:val="single" w:sz="4" w:space="0" w:color="auto"/>
              <w:right w:val="single" w:sz="4" w:space="0" w:color="auto"/>
            </w:tcBorders>
            <w:shd w:val="clear" w:color="auto" w:fill="auto"/>
            <w:noWrap/>
            <w:hideMark/>
          </w:tcPr>
          <w:p w:rsidR="009635F8" w:rsidRPr="00663A8F" w:rsidRDefault="009635F8" w:rsidP="00663A8F">
            <w:pPr>
              <w:jc w:val="right"/>
              <w:rPr>
                <w:rFonts w:ascii="Arial" w:hAnsi="Arial" w:cs="Arial"/>
                <w:b/>
                <w:bCs/>
                <w:sz w:val="20"/>
                <w:szCs w:val="20"/>
                <w:lang w:val="en-IN" w:eastAsia="en-IN"/>
              </w:rPr>
            </w:pPr>
          </w:p>
        </w:tc>
        <w:tc>
          <w:tcPr>
            <w:tcW w:w="5611" w:type="dxa"/>
            <w:tcBorders>
              <w:top w:val="nil"/>
              <w:left w:val="nil"/>
              <w:bottom w:val="single" w:sz="4" w:space="0" w:color="auto"/>
              <w:right w:val="single" w:sz="4" w:space="0" w:color="auto"/>
            </w:tcBorders>
            <w:shd w:val="clear" w:color="auto" w:fill="auto"/>
            <w:hideMark/>
          </w:tcPr>
          <w:p w:rsidR="009635F8" w:rsidRPr="00663A8F" w:rsidRDefault="009635F8" w:rsidP="00663A8F">
            <w:pPr>
              <w:rPr>
                <w:rFonts w:ascii="Arial" w:hAnsi="Arial" w:cs="Arial"/>
                <w:sz w:val="20"/>
                <w:szCs w:val="20"/>
                <w:lang w:val="en-IN" w:eastAsia="en-IN"/>
              </w:rPr>
            </w:pPr>
            <w:r>
              <w:rPr>
                <w:rFonts w:ascii="Arial" w:hAnsi="Arial" w:cs="Arial"/>
                <w:b/>
                <w:bCs/>
                <w:sz w:val="20"/>
                <w:szCs w:val="20"/>
                <w:lang w:val="en-IN" w:eastAsia="en-IN"/>
              </w:rPr>
              <w:t>Total Terminal Benefits Provided- 1</w:t>
            </w:r>
            <w:r w:rsidR="00C701A5">
              <w:rPr>
                <w:rFonts w:ascii="Arial" w:hAnsi="Arial" w:cs="Arial"/>
                <w:b/>
                <w:bCs/>
                <w:sz w:val="20"/>
                <w:szCs w:val="20"/>
                <w:lang w:val="en-IN" w:eastAsia="en-IN"/>
              </w:rPr>
              <w:t>9-20</w:t>
            </w:r>
          </w:p>
        </w:tc>
        <w:tc>
          <w:tcPr>
            <w:tcW w:w="1701" w:type="dxa"/>
            <w:tcBorders>
              <w:top w:val="nil"/>
              <w:left w:val="nil"/>
              <w:bottom w:val="single" w:sz="4" w:space="0" w:color="auto"/>
              <w:right w:val="single" w:sz="8" w:space="0" w:color="auto"/>
            </w:tcBorders>
            <w:shd w:val="clear" w:color="auto" w:fill="auto"/>
            <w:noWrap/>
            <w:vAlign w:val="bottom"/>
            <w:hideMark/>
          </w:tcPr>
          <w:p w:rsidR="009635F8" w:rsidRPr="006C793D" w:rsidRDefault="00A91C69" w:rsidP="006C793D">
            <w:pPr>
              <w:jc w:val="right"/>
              <w:rPr>
                <w:rFonts w:ascii="Arial" w:hAnsi="Arial" w:cs="Arial"/>
                <w:b/>
                <w:bCs/>
                <w:sz w:val="20"/>
                <w:szCs w:val="20"/>
                <w:lang w:val="en-IN" w:eastAsia="en-IN"/>
              </w:rPr>
            </w:pPr>
            <w:r>
              <w:rPr>
                <w:rFonts w:ascii="Arial" w:hAnsi="Arial" w:cs="Arial"/>
                <w:b/>
                <w:bCs/>
                <w:sz w:val="20"/>
                <w:szCs w:val="20"/>
                <w:lang w:val="en-IN" w:eastAsia="en-IN"/>
              </w:rPr>
              <w:t>14</w:t>
            </w:r>
            <w:r w:rsidR="007F66F8">
              <w:rPr>
                <w:rFonts w:ascii="Arial" w:hAnsi="Arial" w:cs="Arial"/>
                <w:b/>
                <w:bCs/>
                <w:sz w:val="20"/>
                <w:szCs w:val="20"/>
                <w:lang w:val="en-IN" w:eastAsia="en-IN"/>
              </w:rPr>
              <w:t>8.63</w:t>
            </w:r>
          </w:p>
        </w:tc>
      </w:tr>
    </w:tbl>
    <w:p w:rsidR="004276A0" w:rsidRPr="00BF0E9D" w:rsidRDefault="004276A0" w:rsidP="004276A0">
      <w:pPr>
        <w:pStyle w:val="Footer"/>
        <w:tabs>
          <w:tab w:val="clear" w:pos="4320"/>
          <w:tab w:val="clear" w:pos="8640"/>
        </w:tabs>
        <w:spacing w:line="360" w:lineRule="auto"/>
        <w:ind w:left="1440"/>
        <w:jc w:val="both"/>
        <w:rPr>
          <w:rFonts w:ascii="Cambria" w:hAnsi="Cambria" w:cs="Arial"/>
        </w:rPr>
      </w:pPr>
    </w:p>
    <w:p w:rsidR="007F48D4" w:rsidRDefault="004276A0" w:rsidP="00382710">
      <w:pPr>
        <w:spacing w:line="360" w:lineRule="auto"/>
        <w:jc w:val="both"/>
        <w:rPr>
          <w:rFonts w:ascii="Cambria" w:hAnsi="Cambria" w:cs="Arial"/>
          <w:b/>
          <w:u w:val="single"/>
        </w:rPr>
      </w:pPr>
      <w:r w:rsidRPr="00BF0E9D">
        <w:rPr>
          <w:rFonts w:ascii="Cambria" w:hAnsi="Cambria" w:cs="Arial"/>
        </w:rPr>
        <w:t xml:space="preserve">The </w:t>
      </w:r>
      <w:r w:rsidR="007F48D4">
        <w:rPr>
          <w:rFonts w:ascii="Cambria" w:hAnsi="Cambria" w:cs="Arial"/>
        </w:rPr>
        <w:t xml:space="preserve">actual </w:t>
      </w:r>
      <w:r w:rsidRPr="00BF0E9D">
        <w:rPr>
          <w:rFonts w:ascii="Cambria" w:hAnsi="Cambria" w:cs="Arial"/>
        </w:rPr>
        <w:t>employee cost for FY 201</w:t>
      </w:r>
      <w:r w:rsidR="007F66F8">
        <w:rPr>
          <w:rFonts w:ascii="Cambria" w:hAnsi="Cambria" w:cs="Arial"/>
        </w:rPr>
        <w:t>8</w:t>
      </w:r>
      <w:r w:rsidRPr="00BF0E9D">
        <w:rPr>
          <w:rFonts w:ascii="Cambria" w:hAnsi="Cambria" w:cs="Arial"/>
        </w:rPr>
        <w:t>-1</w:t>
      </w:r>
      <w:r w:rsidR="007F66F8">
        <w:rPr>
          <w:rFonts w:ascii="Cambria" w:hAnsi="Cambria" w:cs="Arial"/>
        </w:rPr>
        <w:t>9</w:t>
      </w:r>
      <w:r w:rsidRPr="00BF0E9D">
        <w:rPr>
          <w:rFonts w:ascii="Cambria" w:hAnsi="Cambria" w:cs="Arial"/>
        </w:rPr>
        <w:t xml:space="preserve"> is Rs</w:t>
      </w:r>
      <w:r w:rsidR="008129D4">
        <w:rPr>
          <w:rFonts w:ascii="Cambria" w:hAnsi="Cambria" w:cs="Arial"/>
        </w:rPr>
        <w:t>.</w:t>
      </w:r>
      <w:r w:rsidR="006C793D">
        <w:rPr>
          <w:rFonts w:ascii="Cambria" w:hAnsi="Cambria" w:cs="Arial"/>
        </w:rPr>
        <w:t>3</w:t>
      </w:r>
      <w:r w:rsidR="007F66F8">
        <w:rPr>
          <w:rFonts w:ascii="Cambria" w:hAnsi="Cambria" w:cs="Arial"/>
        </w:rPr>
        <w:t>64.62</w:t>
      </w:r>
      <w:r w:rsidR="00B91965">
        <w:rPr>
          <w:rFonts w:ascii="Cambria" w:hAnsi="Cambria" w:cs="Arial"/>
        </w:rPr>
        <w:t xml:space="preserve"> </w:t>
      </w:r>
      <w:r w:rsidRPr="00BF0E9D">
        <w:rPr>
          <w:rFonts w:ascii="Cambria" w:hAnsi="Cambria" w:cs="Arial"/>
        </w:rPr>
        <w:t xml:space="preserve">Crs </w:t>
      </w:r>
      <w:r w:rsidR="00B91965">
        <w:rPr>
          <w:rFonts w:ascii="Cambria" w:hAnsi="Cambria" w:cs="Arial"/>
        </w:rPr>
        <w:t>including provision of Rs.1</w:t>
      </w:r>
      <w:r w:rsidR="007F66F8">
        <w:rPr>
          <w:rFonts w:ascii="Cambria" w:hAnsi="Cambria" w:cs="Arial"/>
        </w:rPr>
        <w:t>84.21</w:t>
      </w:r>
      <w:r w:rsidR="00382710">
        <w:rPr>
          <w:rFonts w:ascii="Cambria" w:hAnsi="Cambria" w:cs="Arial"/>
        </w:rPr>
        <w:t xml:space="preserve"> </w:t>
      </w:r>
      <w:r w:rsidR="00B91965">
        <w:rPr>
          <w:rFonts w:ascii="Cambria" w:hAnsi="Cambria" w:cs="Arial"/>
        </w:rPr>
        <w:t>crs t</w:t>
      </w:r>
      <w:r w:rsidR="00395556">
        <w:rPr>
          <w:rFonts w:ascii="Cambria" w:hAnsi="Cambria" w:cs="Arial"/>
        </w:rPr>
        <w:t>o</w:t>
      </w:r>
      <w:r w:rsidR="00B91965">
        <w:rPr>
          <w:rFonts w:ascii="Cambria" w:hAnsi="Cambria" w:cs="Arial"/>
        </w:rPr>
        <w:t xml:space="preserve">wards terminal liability for the year as per actuarial report </w:t>
      </w:r>
      <w:r w:rsidRPr="00BF0E9D">
        <w:rPr>
          <w:rFonts w:ascii="Cambria" w:hAnsi="Cambria" w:cs="Arial"/>
        </w:rPr>
        <w:t xml:space="preserve">. </w:t>
      </w:r>
      <w:r w:rsidRPr="00BF0E9D">
        <w:rPr>
          <w:rFonts w:ascii="Cambria" w:hAnsi="Cambria" w:cs="Arial"/>
          <w:b/>
        </w:rPr>
        <w:t xml:space="preserve">The </w:t>
      </w:r>
      <w:r w:rsidR="006C38E9">
        <w:rPr>
          <w:rFonts w:ascii="Cambria" w:hAnsi="Cambria" w:cs="Arial"/>
          <w:b/>
        </w:rPr>
        <w:t>Utility</w:t>
      </w:r>
      <w:r w:rsidRPr="00BF0E9D">
        <w:rPr>
          <w:rFonts w:ascii="Cambria" w:hAnsi="Cambria" w:cs="Arial"/>
          <w:b/>
        </w:rPr>
        <w:t xml:space="preserve"> proposed the Employee cost aggregating </w:t>
      </w:r>
      <w:r w:rsidR="00306DE6" w:rsidRPr="00BF0E9D">
        <w:rPr>
          <w:rFonts w:ascii="Cambria" w:hAnsi="Cambria" w:cs="Arial"/>
          <w:b/>
        </w:rPr>
        <w:t>to</w:t>
      </w:r>
      <w:r w:rsidR="00306DE6">
        <w:rPr>
          <w:rFonts w:ascii="Cambria" w:hAnsi="Cambria" w:cs="Arial"/>
          <w:b/>
        </w:rPr>
        <w:t xml:space="preserve"> </w:t>
      </w:r>
      <w:r w:rsidR="00306DE6" w:rsidRPr="00BF0E9D">
        <w:rPr>
          <w:rFonts w:ascii="Cambria" w:hAnsi="Cambria" w:cs="Arial"/>
          <w:b/>
        </w:rPr>
        <w:t>Rs</w:t>
      </w:r>
      <w:r w:rsidRPr="00BF0E9D">
        <w:rPr>
          <w:rFonts w:ascii="Cambria" w:hAnsi="Cambria" w:cs="Arial"/>
          <w:b/>
        </w:rPr>
        <w:t xml:space="preserve"> </w:t>
      </w:r>
      <w:r w:rsidR="008129D4">
        <w:rPr>
          <w:rFonts w:ascii="Cambria" w:hAnsi="Cambria" w:cs="Arial"/>
          <w:b/>
        </w:rPr>
        <w:t>.</w:t>
      </w:r>
      <w:r w:rsidR="007F66F8">
        <w:rPr>
          <w:rFonts w:ascii="Cambria" w:hAnsi="Cambria" w:cs="Arial"/>
          <w:b/>
        </w:rPr>
        <w:t>392.51</w:t>
      </w:r>
      <w:r w:rsidR="00516915">
        <w:rPr>
          <w:rFonts w:ascii="Cambria" w:hAnsi="Cambria" w:cs="Arial"/>
          <w:b/>
        </w:rPr>
        <w:t xml:space="preserve"> </w:t>
      </w:r>
      <w:r w:rsidR="007F66F8">
        <w:rPr>
          <w:rFonts w:ascii="Cambria" w:hAnsi="Cambria" w:cs="Arial"/>
          <w:b/>
        </w:rPr>
        <w:t>Crs for the FY 2020-21</w:t>
      </w:r>
      <w:r w:rsidRPr="00BF0E9D">
        <w:rPr>
          <w:rFonts w:ascii="Cambria" w:hAnsi="Cambria" w:cs="Arial"/>
          <w:b/>
        </w:rPr>
        <w:t xml:space="preserve">. </w:t>
      </w:r>
      <w:r w:rsidR="008A7337">
        <w:rPr>
          <w:rFonts w:ascii="Cambria" w:hAnsi="Cambria" w:cs="Arial"/>
          <w:b/>
        </w:rPr>
        <w:t>The above cost has been projected considering effect of 7</w:t>
      </w:r>
      <w:r w:rsidR="008A7337" w:rsidRPr="008A7337">
        <w:rPr>
          <w:rFonts w:ascii="Cambria" w:hAnsi="Cambria" w:cs="Arial"/>
          <w:b/>
          <w:vertAlign w:val="superscript"/>
        </w:rPr>
        <w:t>th</w:t>
      </w:r>
      <w:r w:rsidR="008A7337">
        <w:rPr>
          <w:rFonts w:ascii="Cambria" w:hAnsi="Cambria" w:cs="Arial"/>
          <w:b/>
        </w:rPr>
        <w:t xml:space="preserve"> Pay commission</w:t>
      </w:r>
      <w:r w:rsidR="00382710">
        <w:rPr>
          <w:rFonts w:ascii="Cambria" w:hAnsi="Cambria" w:cs="Arial"/>
          <w:b/>
        </w:rPr>
        <w:t xml:space="preserve"> already implemen</w:t>
      </w:r>
      <w:r w:rsidR="007F66F8">
        <w:rPr>
          <w:rFonts w:ascii="Cambria" w:hAnsi="Cambria" w:cs="Arial"/>
          <w:b/>
        </w:rPr>
        <w:t>ted to the regular pay and the 6</w:t>
      </w:r>
      <w:r w:rsidR="00382710">
        <w:rPr>
          <w:rFonts w:ascii="Cambria" w:hAnsi="Cambria" w:cs="Arial"/>
          <w:b/>
        </w:rPr>
        <w:t>0% of the arr</w:t>
      </w:r>
      <w:r w:rsidR="007F66F8">
        <w:rPr>
          <w:rFonts w:ascii="Cambria" w:hAnsi="Cambria" w:cs="Arial"/>
          <w:b/>
        </w:rPr>
        <w:t>ear impact to the tune of Rs. 35.67</w:t>
      </w:r>
      <w:r w:rsidR="00382710">
        <w:rPr>
          <w:rFonts w:ascii="Cambria" w:hAnsi="Cambria" w:cs="Arial"/>
          <w:b/>
        </w:rPr>
        <w:t xml:space="preserve"> crores </w:t>
      </w:r>
      <w:r w:rsidR="008A7337">
        <w:rPr>
          <w:rFonts w:ascii="Cambria" w:hAnsi="Cambria" w:cs="Arial"/>
          <w:b/>
        </w:rPr>
        <w:t xml:space="preserve">. </w:t>
      </w:r>
    </w:p>
    <w:p w:rsidR="00395556" w:rsidRDefault="003C7BB5" w:rsidP="00B91965">
      <w:pPr>
        <w:spacing w:line="360" w:lineRule="auto"/>
        <w:jc w:val="both"/>
        <w:rPr>
          <w:rFonts w:ascii="Cambria" w:hAnsi="Cambria" w:cs="Arial"/>
        </w:rPr>
      </w:pPr>
      <w:r w:rsidRPr="003C7BB5">
        <w:rPr>
          <w:rFonts w:ascii="Cambria" w:hAnsi="Cambria" w:cs="Arial"/>
        </w:rPr>
        <w:t>Further, as no recruitment has been permitted till date by Hon’ble commission the contractual obligation for maintenance of existing Grid Substations and S/S under ODSSP, watch and ward, outsourced/ contractual obligation for vigilance activity amounting to Rs.</w:t>
      </w:r>
      <w:r w:rsidR="007F66F8">
        <w:rPr>
          <w:rFonts w:ascii="Cambria" w:hAnsi="Cambria" w:cs="Arial"/>
        </w:rPr>
        <w:t>32.81</w:t>
      </w:r>
      <w:r w:rsidRPr="003C7BB5">
        <w:rPr>
          <w:rFonts w:ascii="Cambria" w:hAnsi="Cambria" w:cs="Arial"/>
        </w:rPr>
        <w:t xml:space="preserve"> crs has been estimated for the ensuing year.</w:t>
      </w:r>
    </w:p>
    <w:p w:rsidR="00E87FA9" w:rsidRDefault="00E87FA9" w:rsidP="00B91965">
      <w:pPr>
        <w:spacing w:line="360" w:lineRule="auto"/>
        <w:jc w:val="both"/>
        <w:rPr>
          <w:rFonts w:ascii="Cambria" w:hAnsi="Cambria" w:cs="Arial"/>
        </w:rPr>
      </w:pPr>
    </w:p>
    <w:p w:rsidR="003C7BB5" w:rsidRPr="003C7BB5" w:rsidRDefault="003C7BB5" w:rsidP="00B91965">
      <w:pPr>
        <w:spacing w:line="360" w:lineRule="auto"/>
        <w:jc w:val="both"/>
        <w:rPr>
          <w:rFonts w:ascii="Cambria" w:hAnsi="Cambria" w:cs="Arial"/>
        </w:rPr>
      </w:pPr>
      <w:r>
        <w:rPr>
          <w:rFonts w:ascii="Cambria" w:hAnsi="Cambria" w:cs="Arial"/>
        </w:rPr>
        <w:t xml:space="preserve">In view of the above it is humbly submitted before Hon’ble Commission to approve the proposed employee cost of </w:t>
      </w:r>
      <w:r w:rsidRPr="00F5571C">
        <w:rPr>
          <w:rFonts w:ascii="Cambria" w:hAnsi="Cambria" w:cs="Arial"/>
          <w:b/>
        </w:rPr>
        <w:t>Rs.</w:t>
      </w:r>
      <w:r w:rsidR="007F66F8">
        <w:rPr>
          <w:rFonts w:ascii="Cambria" w:hAnsi="Cambria" w:cs="Arial"/>
          <w:b/>
        </w:rPr>
        <w:t>392.51</w:t>
      </w:r>
      <w:r w:rsidRPr="00F5571C">
        <w:rPr>
          <w:rFonts w:ascii="Cambria" w:hAnsi="Cambria" w:cs="Arial"/>
          <w:b/>
        </w:rPr>
        <w:t xml:space="preserve"> crs</w:t>
      </w:r>
      <w:r>
        <w:rPr>
          <w:rFonts w:ascii="Cambria" w:hAnsi="Cambria" w:cs="Arial"/>
        </w:rPr>
        <w:t xml:space="preserve"> for the ensuing year.</w:t>
      </w:r>
    </w:p>
    <w:p w:rsidR="004276A0" w:rsidRPr="00BF0E9D" w:rsidRDefault="004276A0" w:rsidP="000334F1">
      <w:pPr>
        <w:pStyle w:val="Heading1"/>
        <w:numPr>
          <w:ilvl w:val="1"/>
          <w:numId w:val="1"/>
        </w:numPr>
        <w:spacing w:line="360" w:lineRule="auto"/>
        <w:jc w:val="both"/>
        <w:rPr>
          <w:rFonts w:ascii="Cambria" w:hAnsi="Cambria"/>
          <w:sz w:val="24"/>
          <w:szCs w:val="24"/>
        </w:rPr>
      </w:pPr>
      <w:bookmarkStart w:id="6" w:name="_Toc25850911"/>
      <w:r w:rsidRPr="00BF0E9D">
        <w:rPr>
          <w:rFonts w:ascii="Cambria" w:hAnsi="Cambria"/>
          <w:sz w:val="24"/>
          <w:szCs w:val="24"/>
        </w:rPr>
        <w:lastRenderedPageBreak/>
        <w:t>Administrative and General Expenses</w:t>
      </w:r>
      <w:bookmarkEnd w:id="6"/>
    </w:p>
    <w:p w:rsidR="004276A0" w:rsidRPr="00BF0E9D"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 xml:space="preserve">The A&amp;G </w:t>
      </w:r>
      <w:r w:rsidR="00F76DC0" w:rsidRPr="00BF0E9D">
        <w:rPr>
          <w:rFonts w:ascii="Cambria" w:hAnsi="Cambria" w:cs="Arial"/>
          <w:sz w:val="24"/>
          <w:szCs w:val="24"/>
          <w:lang w:val="en-GB"/>
        </w:rPr>
        <w:t>expenses for FY 20</w:t>
      </w:r>
      <w:r w:rsidR="00F76DC0">
        <w:rPr>
          <w:rFonts w:ascii="Cambria" w:hAnsi="Cambria" w:cs="Arial"/>
          <w:sz w:val="24"/>
          <w:szCs w:val="24"/>
          <w:lang w:val="en-GB"/>
        </w:rPr>
        <w:t>1</w:t>
      </w:r>
      <w:r w:rsidR="00474218">
        <w:rPr>
          <w:rFonts w:ascii="Cambria" w:hAnsi="Cambria" w:cs="Arial"/>
          <w:sz w:val="24"/>
          <w:szCs w:val="24"/>
          <w:lang w:val="en-GB"/>
        </w:rPr>
        <w:t>9-20</w:t>
      </w:r>
      <w:r w:rsidR="00F76DC0" w:rsidRPr="00BF0E9D">
        <w:rPr>
          <w:rFonts w:ascii="Cambria" w:hAnsi="Cambria" w:cs="Arial"/>
          <w:sz w:val="24"/>
          <w:szCs w:val="24"/>
          <w:lang w:val="en-GB"/>
        </w:rPr>
        <w:t xml:space="preserve"> are</w:t>
      </w:r>
      <w:r w:rsidRPr="00BF0E9D">
        <w:rPr>
          <w:rFonts w:ascii="Cambria" w:hAnsi="Cambria" w:cs="Arial"/>
          <w:sz w:val="24"/>
          <w:szCs w:val="24"/>
          <w:lang w:val="en-GB"/>
        </w:rPr>
        <w:t xml:space="preserve"> estimated at Rs</w:t>
      </w:r>
      <w:r w:rsidR="006D50B0">
        <w:rPr>
          <w:rFonts w:ascii="Cambria" w:hAnsi="Cambria" w:cs="Arial"/>
          <w:sz w:val="24"/>
          <w:szCs w:val="24"/>
          <w:lang w:val="en-GB"/>
        </w:rPr>
        <w:t>.</w:t>
      </w:r>
      <w:r w:rsidR="00474218">
        <w:rPr>
          <w:rFonts w:ascii="Cambria" w:hAnsi="Cambria" w:cs="Arial"/>
          <w:sz w:val="24"/>
          <w:szCs w:val="24"/>
          <w:lang w:val="en-GB"/>
        </w:rPr>
        <w:t xml:space="preserve"> 40.54</w:t>
      </w:r>
      <w:r w:rsidR="008129D4" w:rsidRPr="00BF0E9D">
        <w:rPr>
          <w:rFonts w:ascii="Cambria" w:hAnsi="Cambria" w:cs="Arial"/>
          <w:sz w:val="24"/>
          <w:szCs w:val="24"/>
          <w:lang w:val="en-GB"/>
        </w:rPr>
        <w:t xml:space="preserve"> </w:t>
      </w:r>
      <w:r w:rsidRPr="00BF0E9D">
        <w:rPr>
          <w:rFonts w:ascii="Cambria" w:hAnsi="Cambria" w:cs="Arial"/>
          <w:sz w:val="24"/>
          <w:szCs w:val="24"/>
          <w:lang w:val="en-GB"/>
        </w:rPr>
        <w:t>Crore based on actual expenses till September 201</w:t>
      </w:r>
      <w:r w:rsidR="00474218">
        <w:rPr>
          <w:rFonts w:ascii="Cambria" w:hAnsi="Cambria" w:cs="Arial"/>
          <w:sz w:val="24"/>
          <w:szCs w:val="24"/>
          <w:lang w:val="en-GB"/>
        </w:rPr>
        <w:t>9</w:t>
      </w:r>
      <w:r w:rsidRPr="00BF0E9D">
        <w:rPr>
          <w:rFonts w:ascii="Cambria" w:hAnsi="Cambria" w:cs="Arial"/>
          <w:sz w:val="24"/>
          <w:szCs w:val="24"/>
          <w:lang w:val="en-GB"/>
        </w:rPr>
        <w:t xml:space="preserve"> as against the approved A&amp;G expenses of Rs </w:t>
      </w:r>
      <w:r w:rsidR="00474218">
        <w:rPr>
          <w:rFonts w:ascii="Cambria" w:hAnsi="Cambria" w:cs="Arial"/>
          <w:sz w:val="24"/>
          <w:szCs w:val="24"/>
          <w:lang w:val="en-GB"/>
        </w:rPr>
        <w:t>37.50</w:t>
      </w:r>
      <w:r w:rsidRPr="00BF0E9D">
        <w:rPr>
          <w:rFonts w:ascii="Cambria" w:hAnsi="Cambria" w:cs="Arial"/>
          <w:sz w:val="24"/>
          <w:szCs w:val="24"/>
          <w:lang w:val="en-GB"/>
        </w:rPr>
        <w:t xml:space="preserve"> Crore</w:t>
      </w:r>
      <w:r w:rsidR="006D50B0">
        <w:rPr>
          <w:rFonts w:ascii="Cambria" w:hAnsi="Cambria" w:cs="Arial"/>
          <w:sz w:val="24"/>
          <w:szCs w:val="24"/>
          <w:lang w:val="en-GB"/>
        </w:rPr>
        <w:t xml:space="preserve">. </w:t>
      </w:r>
      <w:r w:rsidR="00474218">
        <w:rPr>
          <w:rFonts w:ascii="Cambria" w:hAnsi="Cambria" w:cs="Arial"/>
          <w:sz w:val="24"/>
          <w:szCs w:val="24"/>
          <w:lang w:val="en-GB"/>
        </w:rPr>
        <w:t>T</w:t>
      </w:r>
      <w:r w:rsidR="00B8087B">
        <w:rPr>
          <w:rFonts w:ascii="Cambria" w:hAnsi="Cambria" w:cs="Arial"/>
          <w:sz w:val="24"/>
          <w:szCs w:val="24"/>
          <w:lang w:val="en-GB"/>
        </w:rPr>
        <w:t>he licensee is managing A&amp;G expenses out of the other</w:t>
      </w:r>
      <w:r w:rsidR="00185E86">
        <w:rPr>
          <w:rFonts w:ascii="Cambria" w:hAnsi="Cambria" w:cs="Arial"/>
          <w:sz w:val="24"/>
          <w:szCs w:val="24"/>
          <w:lang w:val="en-GB"/>
        </w:rPr>
        <w:t xml:space="preserve"> non escrow </w:t>
      </w:r>
      <w:r w:rsidR="00B8087B">
        <w:rPr>
          <w:rFonts w:ascii="Cambria" w:hAnsi="Cambria" w:cs="Arial"/>
          <w:sz w:val="24"/>
          <w:szCs w:val="24"/>
          <w:lang w:val="en-GB"/>
        </w:rPr>
        <w:t xml:space="preserve">miscellaneous income </w:t>
      </w:r>
      <w:r w:rsidR="00185E86">
        <w:rPr>
          <w:rFonts w:ascii="Cambria" w:hAnsi="Cambria" w:cs="Arial"/>
          <w:sz w:val="24"/>
          <w:szCs w:val="24"/>
          <w:lang w:val="en-GB"/>
        </w:rPr>
        <w:t xml:space="preserve">like CSS, meter rent, DPS collected, overdrawal penalty etc. </w:t>
      </w:r>
      <w:r w:rsidR="006D50B0">
        <w:rPr>
          <w:rFonts w:ascii="Cambria" w:hAnsi="Cambria" w:cs="Arial"/>
          <w:sz w:val="24"/>
          <w:szCs w:val="24"/>
          <w:lang w:val="en-GB"/>
        </w:rPr>
        <w:t xml:space="preserve">Estimation of higher A&amp;G expenses </w:t>
      </w:r>
      <w:r w:rsidR="00F76DC0">
        <w:rPr>
          <w:rFonts w:ascii="Cambria" w:hAnsi="Cambria" w:cs="Arial"/>
          <w:sz w:val="24"/>
          <w:szCs w:val="24"/>
          <w:lang w:val="en-GB"/>
        </w:rPr>
        <w:t xml:space="preserve">during ensuing year has been made </w:t>
      </w:r>
      <w:r w:rsidR="006D50B0" w:rsidRPr="00BF0E9D">
        <w:rPr>
          <w:rFonts w:ascii="Cambria" w:hAnsi="Cambria" w:cs="Arial"/>
          <w:sz w:val="24"/>
          <w:szCs w:val="24"/>
          <w:lang w:val="en-GB"/>
        </w:rPr>
        <w:t>is</w:t>
      </w:r>
      <w:r w:rsidRPr="00BF0E9D">
        <w:rPr>
          <w:rFonts w:ascii="Cambria" w:hAnsi="Cambria" w:cs="Arial"/>
          <w:sz w:val="24"/>
          <w:szCs w:val="24"/>
          <w:lang w:val="en-GB"/>
        </w:rPr>
        <w:t xml:space="preserve"> </w:t>
      </w:r>
      <w:r w:rsidR="006D50B0">
        <w:rPr>
          <w:rFonts w:ascii="Cambria" w:hAnsi="Cambria" w:cs="Arial"/>
          <w:sz w:val="24"/>
          <w:szCs w:val="24"/>
          <w:lang w:val="en-GB"/>
        </w:rPr>
        <w:t>account of mass engagement of franchisee</w:t>
      </w:r>
      <w:r w:rsidRPr="00BF0E9D">
        <w:rPr>
          <w:rFonts w:ascii="Cambria" w:hAnsi="Cambria" w:cs="Arial"/>
          <w:sz w:val="24"/>
          <w:szCs w:val="24"/>
          <w:lang w:val="en-GB"/>
        </w:rPr>
        <w:t>, Customer Care</w:t>
      </w:r>
      <w:r w:rsidR="006D50B0" w:rsidRPr="00BF0E9D">
        <w:rPr>
          <w:rFonts w:ascii="Cambria" w:hAnsi="Cambria" w:cs="Arial"/>
          <w:sz w:val="24"/>
          <w:szCs w:val="24"/>
          <w:lang w:val="en-GB"/>
        </w:rPr>
        <w:t xml:space="preserve">, </w:t>
      </w:r>
      <w:r w:rsidR="00F76DC0">
        <w:rPr>
          <w:rFonts w:ascii="Cambria" w:hAnsi="Cambria" w:cs="Arial"/>
          <w:sz w:val="24"/>
          <w:szCs w:val="24"/>
          <w:lang w:val="en-GB"/>
        </w:rPr>
        <w:t>vigilance activity, Disconnection squad expenses</w:t>
      </w:r>
      <w:r w:rsidRPr="00BF0E9D">
        <w:rPr>
          <w:rFonts w:ascii="Cambria" w:hAnsi="Cambria" w:cs="Arial"/>
          <w:sz w:val="24"/>
          <w:szCs w:val="24"/>
          <w:lang w:val="en-GB"/>
        </w:rPr>
        <w:t xml:space="preserve"> and compensation towards electrical accidents</w:t>
      </w:r>
      <w:r w:rsidR="00F76DC0">
        <w:rPr>
          <w:rFonts w:ascii="Cambria" w:hAnsi="Cambria" w:cs="Arial"/>
          <w:sz w:val="24"/>
          <w:szCs w:val="24"/>
          <w:lang w:val="en-GB"/>
        </w:rPr>
        <w:t xml:space="preserve"> etc.</w:t>
      </w:r>
    </w:p>
    <w:p w:rsidR="004276A0" w:rsidRPr="00BF0E9D"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In addition to normal A&amp;G expenses, following additional expenses for aforesaid initiatives has been considered while projecting the total A&amp;G expenses for FY 20</w:t>
      </w:r>
      <w:r w:rsidR="00474218">
        <w:rPr>
          <w:rFonts w:ascii="Cambria" w:hAnsi="Cambria" w:cs="Arial"/>
          <w:sz w:val="24"/>
          <w:szCs w:val="24"/>
          <w:lang w:val="en-GB"/>
        </w:rPr>
        <w:t>20-21</w:t>
      </w:r>
      <w:r w:rsidRPr="00BF0E9D">
        <w:rPr>
          <w:rFonts w:ascii="Cambria" w:hAnsi="Cambria" w:cs="Arial"/>
          <w:sz w:val="24"/>
          <w:szCs w:val="24"/>
          <w:lang w:val="en-GB"/>
        </w:rPr>
        <w:t>. The collection of arrears and current bills is assumed to be used to meet cash deficits during the year 201</w:t>
      </w:r>
      <w:r w:rsidR="00474218">
        <w:rPr>
          <w:rFonts w:ascii="Cambria" w:hAnsi="Cambria" w:cs="Arial"/>
          <w:sz w:val="24"/>
          <w:szCs w:val="24"/>
          <w:lang w:val="en-GB"/>
        </w:rPr>
        <w:t>9-20</w:t>
      </w:r>
      <w:r w:rsidRPr="00BF0E9D">
        <w:rPr>
          <w:rFonts w:ascii="Cambria" w:hAnsi="Cambria" w:cs="Arial"/>
          <w:sz w:val="24"/>
          <w:szCs w:val="24"/>
          <w:lang w:val="en-GB"/>
        </w:rPr>
        <w:t xml:space="preserve">, to the extent of collected amounts. The </w:t>
      </w:r>
      <w:r w:rsidR="006C38E9">
        <w:rPr>
          <w:rFonts w:ascii="Cambria" w:hAnsi="Cambria" w:cs="Arial"/>
          <w:sz w:val="24"/>
          <w:szCs w:val="24"/>
          <w:lang w:val="en-GB"/>
        </w:rPr>
        <w:t>Utility</w:t>
      </w:r>
      <w:r w:rsidRPr="00BF0E9D">
        <w:rPr>
          <w:rFonts w:ascii="Cambria" w:hAnsi="Cambria" w:cs="Arial"/>
          <w:sz w:val="24"/>
          <w:szCs w:val="24"/>
          <w:lang w:val="en-GB"/>
        </w:rPr>
        <w:t xml:space="preserve"> proposes to recover the operational expenses as stated </w:t>
      </w:r>
      <w:r w:rsidR="00983046">
        <w:rPr>
          <w:rFonts w:ascii="Cambria" w:hAnsi="Cambria" w:cs="Arial"/>
          <w:sz w:val="24"/>
          <w:szCs w:val="24"/>
          <w:lang w:val="en-GB"/>
        </w:rPr>
        <w:t>i</w:t>
      </w:r>
      <w:r w:rsidRPr="00BF0E9D">
        <w:rPr>
          <w:rFonts w:ascii="Cambria" w:hAnsi="Cambria" w:cs="Arial"/>
          <w:sz w:val="24"/>
          <w:szCs w:val="24"/>
          <w:lang w:val="en-GB"/>
        </w:rPr>
        <w:t xml:space="preserve">n </w:t>
      </w:r>
      <w:r w:rsidR="00983046">
        <w:rPr>
          <w:rFonts w:ascii="Cambria" w:hAnsi="Cambria" w:cs="Arial"/>
          <w:sz w:val="24"/>
          <w:szCs w:val="24"/>
          <w:lang w:val="en-GB"/>
        </w:rPr>
        <w:t xml:space="preserve">following heads of </w:t>
      </w:r>
      <w:r w:rsidR="00474218">
        <w:rPr>
          <w:rFonts w:ascii="Cambria" w:hAnsi="Cambria" w:cs="Arial"/>
          <w:sz w:val="24"/>
          <w:szCs w:val="24"/>
          <w:lang w:val="en-GB"/>
        </w:rPr>
        <w:t xml:space="preserve"> ARR for the FY 2020-21</w:t>
      </w:r>
      <w:r w:rsidR="00A4295F">
        <w:rPr>
          <w:rFonts w:ascii="Cambria" w:hAnsi="Cambria" w:cs="Arial"/>
          <w:sz w:val="24"/>
          <w:szCs w:val="24"/>
          <w:lang w:val="en-GB"/>
        </w:rPr>
        <w:t xml:space="preserve">. </w:t>
      </w:r>
    </w:p>
    <w:p w:rsidR="004276A0" w:rsidRDefault="004276A0" w:rsidP="004276A0">
      <w:pPr>
        <w:pStyle w:val="BodyText2"/>
        <w:spacing w:line="360" w:lineRule="auto"/>
        <w:jc w:val="both"/>
        <w:rPr>
          <w:rFonts w:ascii="Cambria" w:hAnsi="Cambria" w:cs="Arial"/>
          <w:sz w:val="24"/>
          <w:szCs w:val="24"/>
          <w:lang w:val="en-GB"/>
        </w:rPr>
      </w:pPr>
      <w:r w:rsidRPr="00BF0E9D">
        <w:rPr>
          <w:rFonts w:ascii="Cambria" w:hAnsi="Cambria" w:cs="Arial"/>
          <w:sz w:val="24"/>
          <w:szCs w:val="24"/>
          <w:lang w:val="en-GB"/>
        </w:rPr>
        <w:t xml:space="preserve">The Administration and General expenses for the ensuing year have been forecasted based on </w:t>
      </w:r>
      <w:r w:rsidR="00474218">
        <w:rPr>
          <w:rFonts w:ascii="Cambria" w:hAnsi="Cambria" w:cs="Arial"/>
          <w:sz w:val="24"/>
          <w:szCs w:val="24"/>
          <w:lang w:val="en-GB"/>
        </w:rPr>
        <w:t>estimated expenses during FY 20</w:t>
      </w:r>
      <w:r w:rsidR="005054A1">
        <w:rPr>
          <w:rFonts w:ascii="Cambria" w:hAnsi="Cambria" w:cs="Arial"/>
          <w:sz w:val="24"/>
          <w:szCs w:val="24"/>
          <w:lang w:val="en-GB"/>
        </w:rPr>
        <w:t>19</w:t>
      </w:r>
      <w:r w:rsidR="00474218">
        <w:rPr>
          <w:rFonts w:ascii="Cambria" w:hAnsi="Cambria" w:cs="Arial"/>
          <w:sz w:val="24"/>
          <w:szCs w:val="24"/>
          <w:lang w:val="en-GB"/>
        </w:rPr>
        <w:t>-20</w:t>
      </w:r>
      <w:r w:rsidRPr="00BF0E9D">
        <w:rPr>
          <w:rFonts w:ascii="Cambria" w:hAnsi="Cambria" w:cs="Arial"/>
          <w:sz w:val="24"/>
          <w:szCs w:val="24"/>
          <w:lang w:val="en-GB"/>
        </w:rPr>
        <w:t xml:space="preserve"> in line with </w:t>
      </w:r>
      <w:r w:rsidR="006D50B0">
        <w:rPr>
          <w:rFonts w:ascii="Cambria" w:hAnsi="Cambria" w:cs="Arial"/>
          <w:sz w:val="24"/>
          <w:szCs w:val="24"/>
          <w:lang w:val="en-GB"/>
        </w:rPr>
        <w:t xml:space="preserve">Hon’ble </w:t>
      </w:r>
      <w:r w:rsidRPr="00BF0E9D">
        <w:rPr>
          <w:rFonts w:ascii="Cambria" w:hAnsi="Cambria" w:cs="Arial"/>
          <w:sz w:val="24"/>
          <w:szCs w:val="24"/>
          <w:lang w:val="en-GB"/>
        </w:rPr>
        <w:t xml:space="preserve">Commission’s earlier Orders, the increase in A&amp;G expenses for the ensuing year has been projected by considering 7% increase over the </w:t>
      </w:r>
      <w:r w:rsidR="008129D4">
        <w:rPr>
          <w:rFonts w:ascii="Cambria" w:hAnsi="Cambria" w:cs="Arial"/>
          <w:sz w:val="24"/>
          <w:szCs w:val="24"/>
          <w:lang w:val="en-GB"/>
        </w:rPr>
        <w:t>estimated</w:t>
      </w:r>
      <w:r w:rsidR="008129D4" w:rsidRPr="00BF0E9D">
        <w:rPr>
          <w:rFonts w:ascii="Cambria" w:hAnsi="Cambria" w:cs="Arial"/>
          <w:sz w:val="24"/>
          <w:szCs w:val="24"/>
          <w:lang w:val="en-GB"/>
        </w:rPr>
        <w:t xml:space="preserve"> </w:t>
      </w:r>
      <w:r w:rsidRPr="00BF0E9D">
        <w:rPr>
          <w:rFonts w:ascii="Cambria" w:hAnsi="Cambria" w:cs="Arial"/>
          <w:sz w:val="24"/>
          <w:szCs w:val="24"/>
          <w:lang w:val="en-GB"/>
        </w:rPr>
        <w:t>A&amp;G expenses for FY 201</w:t>
      </w:r>
      <w:r w:rsidR="00474218">
        <w:rPr>
          <w:rFonts w:ascii="Cambria" w:hAnsi="Cambria" w:cs="Arial"/>
          <w:sz w:val="24"/>
          <w:szCs w:val="24"/>
          <w:lang w:val="en-GB"/>
        </w:rPr>
        <w:t>9-20</w:t>
      </w:r>
      <w:r w:rsidRPr="00BF0E9D">
        <w:rPr>
          <w:rFonts w:ascii="Cambria" w:hAnsi="Cambria" w:cs="Arial"/>
          <w:sz w:val="24"/>
          <w:szCs w:val="24"/>
          <w:lang w:val="en-GB"/>
        </w:rPr>
        <w:t xml:space="preserve"> along with additional expenses Rs</w:t>
      </w:r>
      <w:r w:rsidR="008129D4">
        <w:rPr>
          <w:rFonts w:ascii="Cambria" w:hAnsi="Cambria" w:cs="Arial"/>
          <w:sz w:val="24"/>
          <w:szCs w:val="24"/>
          <w:lang w:val="en-GB"/>
        </w:rPr>
        <w:t>.</w:t>
      </w:r>
      <w:r w:rsidR="00474218">
        <w:rPr>
          <w:rFonts w:ascii="Cambria" w:hAnsi="Cambria" w:cs="Arial"/>
          <w:sz w:val="24"/>
          <w:szCs w:val="24"/>
          <w:lang w:val="en-GB"/>
        </w:rPr>
        <w:t>8.29</w:t>
      </w:r>
      <w:r w:rsidR="008129D4">
        <w:rPr>
          <w:rFonts w:ascii="Cambria" w:hAnsi="Cambria" w:cs="Arial"/>
          <w:sz w:val="24"/>
          <w:szCs w:val="24"/>
          <w:lang w:val="en-GB"/>
        </w:rPr>
        <w:t xml:space="preserve"> </w:t>
      </w:r>
      <w:r w:rsidRPr="00BF0E9D">
        <w:rPr>
          <w:rFonts w:ascii="Cambria" w:hAnsi="Cambria" w:cs="Arial"/>
          <w:sz w:val="24"/>
          <w:szCs w:val="24"/>
          <w:lang w:val="en-GB"/>
        </w:rPr>
        <w:t xml:space="preserve">cr as detailed in the following paras.  The 7% increase is taken on account of inflation on the normal A&amp;G expenses. </w:t>
      </w:r>
    </w:p>
    <w:p w:rsidR="00BB3800" w:rsidRPr="006809D4" w:rsidRDefault="00BB3800" w:rsidP="00BB3800">
      <w:pPr>
        <w:pStyle w:val="Heading1"/>
        <w:spacing w:line="360" w:lineRule="auto"/>
        <w:jc w:val="both"/>
        <w:rPr>
          <w:rFonts w:ascii="Cambria" w:hAnsi="Cambria"/>
          <w:sz w:val="24"/>
          <w:szCs w:val="24"/>
        </w:rPr>
      </w:pPr>
      <w:r w:rsidRPr="006809D4">
        <w:rPr>
          <w:rFonts w:ascii="Cambria" w:hAnsi="Cambria"/>
          <w:b w:val="0"/>
          <w:sz w:val="24"/>
          <w:szCs w:val="24"/>
        </w:rPr>
        <w:t xml:space="preserve">NESCO has engaged various agencies in undertaking the spot billing in every pocket of the distribution area including </w:t>
      </w:r>
      <w:r>
        <w:rPr>
          <w:rFonts w:ascii="Cambria" w:hAnsi="Cambria"/>
          <w:b w:val="0"/>
          <w:sz w:val="24"/>
          <w:szCs w:val="24"/>
        </w:rPr>
        <w:t>W</w:t>
      </w:r>
      <w:r w:rsidRPr="006809D4">
        <w:rPr>
          <w:rFonts w:ascii="Cambria" w:hAnsi="Cambria"/>
          <w:b w:val="0"/>
          <w:sz w:val="24"/>
          <w:szCs w:val="24"/>
        </w:rPr>
        <w:t>SHGs</w:t>
      </w:r>
      <w:r>
        <w:rPr>
          <w:rFonts w:ascii="Cambria" w:hAnsi="Cambria"/>
          <w:b w:val="0"/>
          <w:sz w:val="24"/>
          <w:szCs w:val="24"/>
        </w:rPr>
        <w:t xml:space="preserve">. Similarly the utility has engaged various collection mechanisms to collect the monthly revenue. To cater the above activities NESCO is incurring expenses in form of charges and incentives to boost the revenue collection activities. The cost to that effect is included in the A &amp; G Expenses which the utility is not able to draw through escrow to pay in time to the agencies on monthly basis. In order to maintain the activities the utility has to pay the agencies in time each month. But the stringent escrow mechanism do not permits to draw the expenses to that extent. </w:t>
      </w:r>
      <w:r w:rsidRPr="006809D4">
        <w:rPr>
          <w:rFonts w:ascii="Cambria" w:hAnsi="Cambria"/>
          <w:sz w:val="24"/>
          <w:szCs w:val="24"/>
        </w:rPr>
        <w:t>NESCO therefore pray</w:t>
      </w:r>
      <w:r>
        <w:rPr>
          <w:rFonts w:ascii="Cambria" w:hAnsi="Cambria"/>
          <w:sz w:val="24"/>
          <w:szCs w:val="24"/>
        </w:rPr>
        <w:t>s</w:t>
      </w:r>
      <w:r w:rsidRPr="006809D4">
        <w:rPr>
          <w:rFonts w:ascii="Cambria" w:hAnsi="Cambria"/>
          <w:sz w:val="24"/>
          <w:szCs w:val="24"/>
        </w:rPr>
        <w:t xml:space="preserve"> to include the above expenses in addition to the employee expenses and contractual obligati</w:t>
      </w:r>
      <w:r>
        <w:rPr>
          <w:rFonts w:ascii="Cambria" w:hAnsi="Cambria"/>
          <w:sz w:val="24"/>
          <w:szCs w:val="24"/>
        </w:rPr>
        <w:t>ons as allowed on monthly basis as escrow relaxation and issue necessary directions to GRIDCO.</w:t>
      </w:r>
    </w:p>
    <w:p w:rsidR="00BB3800" w:rsidRPr="00BF0E9D" w:rsidRDefault="00BB3800" w:rsidP="004276A0">
      <w:pPr>
        <w:pStyle w:val="BodyText2"/>
        <w:spacing w:line="360" w:lineRule="auto"/>
        <w:jc w:val="both"/>
        <w:rPr>
          <w:rFonts w:ascii="Cambria" w:hAnsi="Cambria" w:cs="Arial"/>
          <w:sz w:val="24"/>
          <w:szCs w:val="24"/>
          <w:lang w:val="en-GB"/>
        </w:rPr>
      </w:pPr>
    </w:p>
    <w:p w:rsidR="004276A0" w:rsidRDefault="004276A0" w:rsidP="004276A0">
      <w:pPr>
        <w:spacing w:line="360" w:lineRule="auto"/>
        <w:jc w:val="both"/>
        <w:rPr>
          <w:rFonts w:ascii="Cambria" w:hAnsi="Cambria" w:cs="Arial"/>
          <w:b/>
          <w:bCs/>
        </w:rPr>
      </w:pPr>
      <w:r w:rsidRPr="00BF0E9D">
        <w:rPr>
          <w:rFonts w:ascii="Cambria" w:hAnsi="Cambria" w:cs="Arial"/>
          <w:b/>
          <w:bCs/>
        </w:rPr>
        <w:lastRenderedPageBreak/>
        <w:t xml:space="preserve">The A&amp;G </w:t>
      </w:r>
      <w:r w:rsidR="00474218">
        <w:rPr>
          <w:rFonts w:ascii="Cambria" w:hAnsi="Cambria" w:cs="Arial"/>
          <w:b/>
          <w:bCs/>
        </w:rPr>
        <w:t>expenses for FY 2020-21</w:t>
      </w:r>
      <w:r w:rsidR="002E5467" w:rsidRPr="00BF0E9D">
        <w:rPr>
          <w:rFonts w:ascii="Cambria" w:hAnsi="Cambria" w:cs="Arial"/>
          <w:b/>
          <w:bCs/>
        </w:rPr>
        <w:t xml:space="preserve"> are</w:t>
      </w:r>
      <w:r w:rsidRPr="00BF0E9D">
        <w:rPr>
          <w:rFonts w:ascii="Cambria" w:hAnsi="Cambria" w:cs="Arial"/>
          <w:b/>
          <w:bCs/>
        </w:rPr>
        <w:t xml:space="preserve"> projected at Rs </w:t>
      </w:r>
      <w:r w:rsidR="00474218">
        <w:rPr>
          <w:rFonts w:ascii="Cambria" w:hAnsi="Cambria" w:cs="Arial"/>
          <w:b/>
          <w:bCs/>
        </w:rPr>
        <w:t>50.10</w:t>
      </w:r>
      <w:r w:rsidR="00516915">
        <w:rPr>
          <w:rFonts w:ascii="Cambria" w:hAnsi="Cambria" w:cs="Arial"/>
          <w:b/>
          <w:bCs/>
        </w:rPr>
        <w:t xml:space="preserve"> </w:t>
      </w:r>
      <w:r w:rsidRPr="00BF0E9D">
        <w:rPr>
          <w:rFonts w:ascii="Cambria" w:hAnsi="Cambria" w:cs="Arial"/>
          <w:b/>
          <w:bCs/>
        </w:rPr>
        <w:t>Crore.</w:t>
      </w:r>
    </w:p>
    <w:p w:rsidR="004276A0" w:rsidRPr="000334F1" w:rsidRDefault="00235AE0" w:rsidP="000334F1">
      <w:pPr>
        <w:pStyle w:val="Heading1"/>
        <w:numPr>
          <w:ilvl w:val="2"/>
          <w:numId w:val="1"/>
        </w:numPr>
        <w:spacing w:line="360" w:lineRule="auto"/>
        <w:jc w:val="both"/>
        <w:rPr>
          <w:rFonts w:ascii="Cambria" w:hAnsi="Cambria"/>
          <w:sz w:val="24"/>
          <w:szCs w:val="24"/>
        </w:rPr>
      </w:pPr>
      <w:bookmarkStart w:id="7" w:name="_Toc25850912"/>
      <w:r>
        <w:rPr>
          <w:rFonts w:ascii="Cambria" w:hAnsi="Cambria"/>
          <w:sz w:val="24"/>
          <w:szCs w:val="24"/>
        </w:rPr>
        <w:t>Energy Audit</w:t>
      </w:r>
      <w:bookmarkEnd w:id="7"/>
      <w:r w:rsidR="004276A0" w:rsidRPr="000334F1">
        <w:rPr>
          <w:rFonts w:ascii="Cambria" w:hAnsi="Cambria"/>
          <w:sz w:val="24"/>
          <w:szCs w:val="24"/>
        </w:rPr>
        <w:t xml:space="preserve">  </w:t>
      </w:r>
    </w:p>
    <w:p w:rsidR="00784A11" w:rsidRPr="00345D14" w:rsidRDefault="00784A11" w:rsidP="00345D14">
      <w:pPr>
        <w:pStyle w:val="BodyText2"/>
        <w:spacing w:line="360" w:lineRule="auto"/>
        <w:jc w:val="both"/>
        <w:rPr>
          <w:rFonts w:ascii="Cambria" w:hAnsi="Cambria" w:cs="Arial"/>
          <w:sz w:val="24"/>
          <w:szCs w:val="24"/>
          <w:lang w:val="en-GB"/>
        </w:rPr>
      </w:pPr>
      <w:r w:rsidRPr="00345D14">
        <w:rPr>
          <w:rFonts w:ascii="Cambria" w:hAnsi="Cambria" w:cs="Arial"/>
          <w:sz w:val="24"/>
          <w:szCs w:val="24"/>
          <w:lang w:val="en-GB"/>
        </w:rPr>
        <w:t>In spite of severe financial constraints to the extent that the Utility is unable to make timely payment of bulk power purchase bills and employee salaries, to improve customer services, initiatives continuing and proposed by the Utility under the above head during the last year of the control period is as under:-</w:t>
      </w:r>
    </w:p>
    <w:p w:rsidR="00784A11" w:rsidRPr="00345D14" w:rsidRDefault="00784A11" w:rsidP="00345D14">
      <w:pPr>
        <w:pStyle w:val="BodyText2"/>
        <w:spacing w:line="360" w:lineRule="auto"/>
        <w:jc w:val="both"/>
        <w:rPr>
          <w:rFonts w:ascii="Cambria" w:hAnsi="Cambria" w:cs="Arial"/>
          <w:sz w:val="24"/>
          <w:szCs w:val="24"/>
          <w:lang w:val="en-GB"/>
        </w:rPr>
      </w:pPr>
      <w:r w:rsidRPr="00345D14">
        <w:rPr>
          <w:rFonts w:ascii="Cambria" w:hAnsi="Cambria" w:cs="Arial"/>
          <w:sz w:val="24"/>
          <w:szCs w:val="24"/>
          <w:lang w:val="en-GB"/>
        </w:rPr>
        <w:t>The present status of Energy Audit in NESCO utility is as follows:-</w:t>
      </w:r>
    </w:p>
    <w:tbl>
      <w:tblPr>
        <w:tblW w:w="0" w:type="auto"/>
        <w:tblInd w:w="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73"/>
        <w:gridCol w:w="1462"/>
        <w:gridCol w:w="2361"/>
        <w:gridCol w:w="2193"/>
      </w:tblGrid>
      <w:tr w:rsidR="00784A11" w:rsidRPr="00E86106" w:rsidTr="00351C2A">
        <w:trPr>
          <w:trHeight w:val="543"/>
        </w:trPr>
        <w:tc>
          <w:tcPr>
            <w:tcW w:w="1873" w:type="dxa"/>
            <w:vMerge w:val="restart"/>
          </w:tcPr>
          <w:p w:rsidR="00784A11" w:rsidRPr="00E86106" w:rsidRDefault="00784A11" w:rsidP="00351C2A">
            <w:pPr>
              <w:jc w:val="both"/>
              <w:rPr>
                <w:rFonts w:ascii="Book Antiqua" w:hAnsi="Book Antiqua"/>
              </w:rPr>
            </w:pPr>
            <w:r w:rsidRPr="00E86106">
              <w:rPr>
                <w:rFonts w:ascii="Book Antiqua" w:hAnsi="Book Antiqua"/>
              </w:rPr>
              <w:t>Voltage Level</w:t>
            </w:r>
          </w:p>
        </w:tc>
        <w:tc>
          <w:tcPr>
            <w:tcW w:w="1462" w:type="dxa"/>
            <w:vMerge w:val="restart"/>
          </w:tcPr>
          <w:p w:rsidR="00784A11" w:rsidRPr="00E86106" w:rsidRDefault="00784A11" w:rsidP="00351C2A">
            <w:pPr>
              <w:jc w:val="both"/>
              <w:rPr>
                <w:rFonts w:ascii="Book Antiqua" w:hAnsi="Book Antiqua"/>
              </w:rPr>
            </w:pPr>
            <w:r w:rsidRPr="00E86106">
              <w:rPr>
                <w:rFonts w:ascii="Book Antiqua" w:hAnsi="Book Antiqua"/>
              </w:rPr>
              <w:t>Nos</w:t>
            </w:r>
          </w:p>
        </w:tc>
        <w:tc>
          <w:tcPr>
            <w:tcW w:w="2361" w:type="dxa"/>
            <w:vMerge w:val="restart"/>
          </w:tcPr>
          <w:p w:rsidR="00784A11" w:rsidRPr="00E86106" w:rsidRDefault="00784A11" w:rsidP="00351C2A">
            <w:pPr>
              <w:jc w:val="both"/>
              <w:rPr>
                <w:rFonts w:ascii="Book Antiqua" w:hAnsi="Book Antiqua"/>
              </w:rPr>
            </w:pPr>
            <w:r w:rsidRPr="00E86106">
              <w:rPr>
                <w:rFonts w:ascii="Book Antiqua" w:hAnsi="Book Antiqua"/>
              </w:rPr>
              <w:t>Metered</w:t>
            </w:r>
          </w:p>
        </w:tc>
        <w:tc>
          <w:tcPr>
            <w:tcW w:w="2193" w:type="dxa"/>
            <w:vMerge w:val="restart"/>
          </w:tcPr>
          <w:p w:rsidR="00784A11" w:rsidRPr="00E86106" w:rsidRDefault="00784A11" w:rsidP="00351C2A">
            <w:pPr>
              <w:jc w:val="both"/>
              <w:rPr>
                <w:rFonts w:ascii="Book Antiqua" w:hAnsi="Book Antiqua"/>
              </w:rPr>
            </w:pPr>
            <w:r w:rsidRPr="00E86106">
              <w:rPr>
                <w:rFonts w:ascii="Book Antiqua" w:hAnsi="Book Antiqua"/>
              </w:rPr>
              <w:t>Audit Activity</w:t>
            </w:r>
          </w:p>
        </w:tc>
      </w:tr>
      <w:tr w:rsidR="00784A11" w:rsidRPr="00E86106" w:rsidTr="00014982">
        <w:trPr>
          <w:trHeight w:val="298"/>
        </w:trPr>
        <w:tc>
          <w:tcPr>
            <w:tcW w:w="1873" w:type="dxa"/>
            <w:vMerge/>
          </w:tcPr>
          <w:p w:rsidR="00784A11" w:rsidRPr="00E86106" w:rsidRDefault="00784A11" w:rsidP="00351C2A">
            <w:pPr>
              <w:jc w:val="both"/>
              <w:rPr>
                <w:rFonts w:ascii="Book Antiqua" w:hAnsi="Book Antiqua"/>
              </w:rPr>
            </w:pPr>
          </w:p>
        </w:tc>
        <w:tc>
          <w:tcPr>
            <w:tcW w:w="1462" w:type="dxa"/>
            <w:vMerge/>
          </w:tcPr>
          <w:p w:rsidR="00784A11" w:rsidRPr="00E86106" w:rsidRDefault="00784A11" w:rsidP="00351C2A">
            <w:pPr>
              <w:jc w:val="both"/>
              <w:rPr>
                <w:rFonts w:ascii="Book Antiqua" w:hAnsi="Book Antiqua"/>
              </w:rPr>
            </w:pPr>
          </w:p>
        </w:tc>
        <w:tc>
          <w:tcPr>
            <w:tcW w:w="2361" w:type="dxa"/>
            <w:vMerge/>
          </w:tcPr>
          <w:p w:rsidR="00784A11" w:rsidRPr="00E86106" w:rsidRDefault="00784A11" w:rsidP="00351C2A">
            <w:pPr>
              <w:jc w:val="both"/>
              <w:rPr>
                <w:rFonts w:ascii="Book Antiqua" w:hAnsi="Book Antiqua"/>
              </w:rPr>
            </w:pPr>
          </w:p>
        </w:tc>
        <w:tc>
          <w:tcPr>
            <w:tcW w:w="2193" w:type="dxa"/>
            <w:vMerge/>
          </w:tcPr>
          <w:p w:rsidR="00784A11" w:rsidRPr="00E86106" w:rsidRDefault="00784A11" w:rsidP="00351C2A">
            <w:pPr>
              <w:jc w:val="both"/>
              <w:rPr>
                <w:rFonts w:ascii="Book Antiqua" w:hAnsi="Book Antiqua"/>
              </w:rPr>
            </w:pPr>
          </w:p>
        </w:tc>
      </w:tr>
      <w:tr w:rsidR="00784A11" w:rsidRPr="00E86106" w:rsidTr="00351C2A">
        <w:trPr>
          <w:trHeight w:val="337"/>
        </w:trPr>
        <w:tc>
          <w:tcPr>
            <w:tcW w:w="1873" w:type="dxa"/>
          </w:tcPr>
          <w:p w:rsidR="00784A11" w:rsidRPr="00E86106" w:rsidRDefault="00784A11" w:rsidP="00351C2A">
            <w:pPr>
              <w:jc w:val="both"/>
              <w:rPr>
                <w:rFonts w:ascii="Book Antiqua" w:hAnsi="Book Antiqua"/>
              </w:rPr>
            </w:pPr>
            <w:r w:rsidRPr="00E86106">
              <w:rPr>
                <w:rFonts w:ascii="Book Antiqua" w:hAnsi="Book Antiqua"/>
              </w:rPr>
              <w:t>33KV</w:t>
            </w:r>
          </w:p>
        </w:tc>
        <w:tc>
          <w:tcPr>
            <w:tcW w:w="1462" w:type="dxa"/>
          </w:tcPr>
          <w:p w:rsidR="00784A11" w:rsidRPr="00E86106" w:rsidRDefault="00784A11" w:rsidP="00351C2A">
            <w:pPr>
              <w:jc w:val="both"/>
              <w:rPr>
                <w:rFonts w:ascii="Book Antiqua" w:hAnsi="Book Antiqua"/>
              </w:rPr>
            </w:pPr>
            <w:r>
              <w:rPr>
                <w:rFonts w:ascii="Book Antiqua" w:hAnsi="Book Antiqua"/>
              </w:rPr>
              <w:t>83</w:t>
            </w:r>
          </w:p>
        </w:tc>
        <w:tc>
          <w:tcPr>
            <w:tcW w:w="2361" w:type="dxa"/>
          </w:tcPr>
          <w:p w:rsidR="00784A11" w:rsidRPr="00E86106" w:rsidRDefault="00784A11" w:rsidP="00351C2A">
            <w:pPr>
              <w:jc w:val="both"/>
              <w:rPr>
                <w:rFonts w:ascii="Book Antiqua" w:hAnsi="Book Antiqua"/>
              </w:rPr>
            </w:pPr>
            <w:r>
              <w:rPr>
                <w:rFonts w:ascii="Book Antiqua" w:hAnsi="Book Antiqua"/>
              </w:rPr>
              <w:t>83</w:t>
            </w:r>
          </w:p>
        </w:tc>
        <w:tc>
          <w:tcPr>
            <w:tcW w:w="2193" w:type="dxa"/>
          </w:tcPr>
          <w:p w:rsidR="00784A11" w:rsidRPr="00E86106" w:rsidRDefault="00784A11" w:rsidP="00351C2A">
            <w:pPr>
              <w:jc w:val="both"/>
              <w:rPr>
                <w:rFonts w:ascii="Book Antiqua" w:hAnsi="Book Antiqua"/>
              </w:rPr>
            </w:pPr>
            <w:r>
              <w:rPr>
                <w:rFonts w:ascii="Book Antiqua" w:hAnsi="Book Antiqua"/>
              </w:rPr>
              <w:t>63</w:t>
            </w:r>
          </w:p>
        </w:tc>
      </w:tr>
      <w:tr w:rsidR="00784A11" w:rsidRPr="00E86106" w:rsidTr="00351C2A">
        <w:trPr>
          <w:trHeight w:val="337"/>
        </w:trPr>
        <w:tc>
          <w:tcPr>
            <w:tcW w:w="1873" w:type="dxa"/>
          </w:tcPr>
          <w:p w:rsidR="00784A11" w:rsidRPr="00E86106" w:rsidRDefault="00784A11" w:rsidP="00351C2A">
            <w:pPr>
              <w:jc w:val="both"/>
              <w:rPr>
                <w:rFonts w:ascii="Book Antiqua" w:hAnsi="Book Antiqua"/>
              </w:rPr>
            </w:pPr>
            <w:r w:rsidRPr="00E86106">
              <w:rPr>
                <w:rFonts w:ascii="Book Antiqua" w:hAnsi="Book Antiqua"/>
              </w:rPr>
              <w:t>11KV</w:t>
            </w:r>
          </w:p>
        </w:tc>
        <w:tc>
          <w:tcPr>
            <w:tcW w:w="1462" w:type="dxa"/>
          </w:tcPr>
          <w:p w:rsidR="00784A11" w:rsidRPr="00E86106" w:rsidRDefault="00784A11" w:rsidP="00351C2A">
            <w:pPr>
              <w:jc w:val="both"/>
              <w:rPr>
                <w:rFonts w:ascii="Book Antiqua" w:hAnsi="Book Antiqua"/>
              </w:rPr>
            </w:pPr>
            <w:r>
              <w:rPr>
                <w:rFonts w:ascii="Book Antiqua" w:hAnsi="Book Antiqua"/>
              </w:rPr>
              <w:t>674</w:t>
            </w:r>
          </w:p>
        </w:tc>
        <w:tc>
          <w:tcPr>
            <w:tcW w:w="2361" w:type="dxa"/>
          </w:tcPr>
          <w:p w:rsidR="00784A11" w:rsidRPr="00E86106" w:rsidRDefault="00784A11" w:rsidP="00351C2A">
            <w:pPr>
              <w:jc w:val="both"/>
              <w:rPr>
                <w:rFonts w:ascii="Book Antiqua" w:hAnsi="Book Antiqua"/>
              </w:rPr>
            </w:pPr>
            <w:r>
              <w:rPr>
                <w:rFonts w:ascii="Book Antiqua" w:hAnsi="Book Antiqua"/>
              </w:rPr>
              <w:t>674</w:t>
            </w:r>
          </w:p>
        </w:tc>
        <w:tc>
          <w:tcPr>
            <w:tcW w:w="2193" w:type="dxa"/>
          </w:tcPr>
          <w:p w:rsidR="00784A11" w:rsidRPr="00E86106" w:rsidRDefault="00784A11" w:rsidP="00351C2A">
            <w:pPr>
              <w:jc w:val="both"/>
              <w:rPr>
                <w:rFonts w:ascii="Book Antiqua" w:hAnsi="Book Antiqua"/>
              </w:rPr>
            </w:pPr>
            <w:r>
              <w:rPr>
                <w:rFonts w:ascii="Book Antiqua" w:hAnsi="Book Antiqua"/>
              </w:rPr>
              <w:t>510</w:t>
            </w:r>
          </w:p>
        </w:tc>
      </w:tr>
      <w:tr w:rsidR="00784A11" w:rsidRPr="00E86106" w:rsidTr="00351C2A">
        <w:trPr>
          <w:trHeight w:val="355"/>
        </w:trPr>
        <w:tc>
          <w:tcPr>
            <w:tcW w:w="1873" w:type="dxa"/>
          </w:tcPr>
          <w:p w:rsidR="00784A11" w:rsidRPr="00E86106" w:rsidRDefault="00784A11" w:rsidP="00351C2A">
            <w:pPr>
              <w:jc w:val="both"/>
              <w:rPr>
                <w:rFonts w:ascii="Book Antiqua" w:hAnsi="Book Antiqua"/>
              </w:rPr>
            </w:pPr>
            <w:r w:rsidRPr="00E86106">
              <w:rPr>
                <w:rFonts w:ascii="Book Antiqua" w:hAnsi="Book Antiqua"/>
              </w:rPr>
              <w:t>DTRs</w:t>
            </w:r>
          </w:p>
        </w:tc>
        <w:tc>
          <w:tcPr>
            <w:tcW w:w="1462" w:type="dxa"/>
          </w:tcPr>
          <w:p w:rsidR="00784A11" w:rsidRPr="00E86106" w:rsidRDefault="00784A11" w:rsidP="00351C2A">
            <w:pPr>
              <w:jc w:val="both"/>
              <w:rPr>
                <w:rFonts w:ascii="Book Antiqua" w:hAnsi="Book Antiqua"/>
              </w:rPr>
            </w:pPr>
            <w:r>
              <w:rPr>
                <w:rFonts w:ascii="Book Antiqua" w:hAnsi="Book Antiqua"/>
              </w:rPr>
              <w:t>62545</w:t>
            </w:r>
          </w:p>
        </w:tc>
        <w:tc>
          <w:tcPr>
            <w:tcW w:w="2361" w:type="dxa"/>
          </w:tcPr>
          <w:p w:rsidR="00784A11" w:rsidRPr="00E86106" w:rsidRDefault="00784A11" w:rsidP="00351C2A">
            <w:pPr>
              <w:jc w:val="both"/>
              <w:rPr>
                <w:rFonts w:ascii="Book Antiqua" w:hAnsi="Book Antiqua"/>
              </w:rPr>
            </w:pPr>
            <w:r w:rsidRPr="00E86106">
              <w:rPr>
                <w:rFonts w:ascii="Book Antiqua" w:hAnsi="Book Antiqua"/>
              </w:rPr>
              <w:t>1</w:t>
            </w:r>
            <w:r>
              <w:rPr>
                <w:rFonts w:ascii="Book Antiqua" w:hAnsi="Book Antiqua"/>
              </w:rPr>
              <w:t>662</w:t>
            </w:r>
          </w:p>
        </w:tc>
        <w:tc>
          <w:tcPr>
            <w:tcW w:w="2193" w:type="dxa"/>
          </w:tcPr>
          <w:p w:rsidR="00784A11" w:rsidRPr="00E86106" w:rsidRDefault="00784A11" w:rsidP="00351C2A">
            <w:pPr>
              <w:jc w:val="both"/>
              <w:rPr>
                <w:rFonts w:ascii="Book Antiqua" w:hAnsi="Book Antiqua"/>
              </w:rPr>
            </w:pPr>
            <w:r>
              <w:rPr>
                <w:rFonts w:ascii="Book Antiqua" w:hAnsi="Book Antiqua"/>
              </w:rPr>
              <w:t>415</w:t>
            </w:r>
          </w:p>
        </w:tc>
      </w:tr>
    </w:tbl>
    <w:p w:rsidR="00784A11" w:rsidRPr="00345D14" w:rsidRDefault="00784A11" w:rsidP="00345D14">
      <w:pPr>
        <w:pStyle w:val="BodyText2"/>
        <w:spacing w:line="360" w:lineRule="auto"/>
        <w:jc w:val="both"/>
        <w:rPr>
          <w:rFonts w:ascii="Cambria" w:hAnsi="Cambria" w:cs="Arial"/>
          <w:sz w:val="24"/>
          <w:szCs w:val="24"/>
          <w:lang w:val="en-GB"/>
        </w:rPr>
      </w:pPr>
      <w:r w:rsidRPr="00345D14">
        <w:rPr>
          <w:rFonts w:ascii="Cambria" w:hAnsi="Cambria" w:cs="Arial"/>
          <w:sz w:val="24"/>
          <w:szCs w:val="24"/>
          <w:lang w:val="en-GB"/>
        </w:rPr>
        <w:t xml:space="preserve">33kv loss is calculated by taking the consumption of 33kv feeder meters installed in 132/33 KV  Grid and equating them with either 33kv meter installed at the boundary points of respective 33/11kv s/s or summing up off the corresponding 11kv feeders emanating from the respective connected 33/11kv S/S. In first case, the loss figure arrived, consists of 33kv line loss. In second case the loss figure arrived, consists of 33kv Line loss only. On account of metering defects, busting of PT &amp; CT failure and improper phase association, in corresponding 11kv, most of the 33kv feeders are yet to be audited. The utility is in the process of rectification of the same. </w:t>
      </w:r>
    </w:p>
    <w:p w:rsidR="00784A11" w:rsidRPr="00345D14" w:rsidRDefault="00784A11" w:rsidP="00345D14">
      <w:pPr>
        <w:pStyle w:val="BodyText2"/>
        <w:spacing w:line="360" w:lineRule="auto"/>
        <w:jc w:val="both"/>
        <w:rPr>
          <w:rFonts w:ascii="Cambria" w:hAnsi="Cambria" w:cs="Arial"/>
          <w:sz w:val="24"/>
          <w:szCs w:val="24"/>
          <w:lang w:val="en-GB"/>
        </w:rPr>
      </w:pPr>
      <w:r w:rsidRPr="00345D14">
        <w:rPr>
          <w:rFonts w:ascii="Cambria" w:hAnsi="Cambria" w:cs="Arial"/>
          <w:sz w:val="24"/>
          <w:szCs w:val="24"/>
          <w:lang w:val="en-GB"/>
        </w:rPr>
        <w:t>As regards to 11kv feeders, auditing of 510 nos. is being taken up out of 674 nos are being conducted by the utility. The list is given below:</w:t>
      </w:r>
    </w:p>
    <w:tbl>
      <w:tblPr>
        <w:tblW w:w="8946" w:type="dxa"/>
        <w:tblInd w:w="93" w:type="dxa"/>
        <w:tblLook w:val="04A0"/>
      </w:tblPr>
      <w:tblGrid>
        <w:gridCol w:w="1980"/>
        <w:gridCol w:w="2146"/>
        <w:gridCol w:w="2410"/>
        <w:gridCol w:w="2410"/>
      </w:tblGrid>
      <w:tr w:rsidR="00784A11" w:rsidRPr="00A4295F" w:rsidTr="00351C2A">
        <w:trPr>
          <w:trHeight w:val="315"/>
        </w:trPr>
        <w:tc>
          <w:tcPr>
            <w:tcW w:w="894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4A11" w:rsidRPr="00A4295F" w:rsidRDefault="00784A11" w:rsidP="00351C2A">
            <w:pPr>
              <w:jc w:val="both"/>
              <w:rPr>
                <w:rFonts w:ascii="Calibri" w:hAnsi="Calibri"/>
                <w:b/>
                <w:bCs/>
                <w:lang w:val="en-IN" w:eastAsia="en-IN"/>
              </w:rPr>
            </w:pPr>
            <w:r w:rsidRPr="00A4295F">
              <w:rPr>
                <w:rFonts w:ascii="Calibri" w:hAnsi="Calibri"/>
                <w:b/>
                <w:bCs/>
                <w:lang w:val="en-IN" w:eastAsia="en-IN"/>
              </w:rPr>
              <w:t>11KV FEEDER METERING &amp; ENERGY AUDIT STATUS</w:t>
            </w:r>
          </w:p>
        </w:tc>
      </w:tr>
      <w:tr w:rsidR="00784A11" w:rsidRPr="00A4295F" w:rsidTr="00351C2A">
        <w:trPr>
          <w:trHeight w:val="1170"/>
        </w:trPr>
        <w:tc>
          <w:tcPr>
            <w:tcW w:w="1980" w:type="dxa"/>
            <w:tcBorders>
              <w:top w:val="nil"/>
              <w:left w:val="single" w:sz="4" w:space="0" w:color="000000"/>
              <w:bottom w:val="nil"/>
              <w:right w:val="single" w:sz="4" w:space="0" w:color="000000"/>
            </w:tcBorders>
            <w:shd w:val="clear" w:color="auto" w:fill="auto"/>
            <w:vAlign w:val="center"/>
            <w:hideMark/>
          </w:tcPr>
          <w:p w:rsidR="00784A11" w:rsidRPr="00A4295F" w:rsidRDefault="00784A11" w:rsidP="00351C2A">
            <w:pPr>
              <w:jc w:val="both"/>
              <w:rPr>
                <w:rFonts w:ascii="Arial Narrow" w:hAnsi="Arial Narrow"/>
                <w:b/>
                <w:bCs/>
                <w:lang w:val="en-IN" w:eastAsia="en-IN"/>
              </w:rPr>
            </w:pPr>
            <w:r w:rsidRPr="00A4295F">
              <w:rPr>
                <w:rFonts w:ascii="Arial Narrow" w:hAnsi="Arial Narrow"/>
                <w:b/>
                <w:bCs/>
                <w:lang w:val="en-IN" w:eastAsia="en-IN"/>
              </w:rPr>
              <w:t>Division</w:t>
            </w:r>
          </w:p>
        </w:tc>
        <w:tc>
          <w:tcPr>
            <w:tcW w:w="2146" w:type="dxa"/>
            <w:tcBorders>
              <w:top w:val="nil"/>
              <w:left w:val="nil"/>
              <w:bottom w:val="nil"/>
              <w:right w:val="single" w:sz="4" w:space="0" w:color="000000"/>
            </w:tcBorders>
            <w:shd w:val="clear" w:color="auto" w:fill="auto"/>
            <w:vAlign w:val="center"/>
            <w:hideMark/>
          </w:tcPr>
          <w:p w:rsidR="00784A11" w:rsidRPr="00A4295F" w:rsidRDefault="00784A11" w:rsidP="00351C2A">
            <w:pPr>
              <w:jc w:val="both"/>
              <w:rPr>
                <w:rFonts w:ascii="Arial Narrow" w:hAnsi="Arial Narrow"/>
                <w:b/>
                <w:bCs/>
                <w:lang w:val="en-IN" w:eastAsia="en-IN"/>
              </w:rPr>
            </w:pPr>
            <w:r w:rsidRPr="00A4295F">
              <w:rPr>
                <w:rFonts w:ascii="Arial Narrow" w:hAnsi="Arial Narrow"/>
                <w:b/>
                <w:bCs/>
                <w:lang w:val="en-IN" w:eastAsia="en-IN"/>
              </w:rPr>
              <w:t>No of 11KV Feeders</w:t>
            </w:r>
          </w:p>
        </w:tc>
        <w:tc>
          <w:tcPr>
            <w:tcW w:w="2410" w:type="dxa"/>
            <w:tcBorders>
              <w:top w:val="nil"/>
              <w:left w:val="nil"/>
              <w:bottom w:val="nil"/>
              <w:right w:val="single" w:sz="4" w:space="0" w:color="000000"/>
            </w:tcBorders>
            <w:shd w:val="clear" w:color="auto" w:fill="auto"/>
            <w:vAlign w:val="center"/>
            <w:hideMark/>
          </w:tcPr>
          <w:p w:rsidR="00784A11" w:rsidRPr="00A4295F" w:rsidRDefault="00784A11" w:rsidP="00351C2A">
            <w:pPr>
              <w:jc w:val="both"/>
              <w:rPr>
                <w:rFonts w:ascii="Arial Narrow" w:hAnsi="Arial Narrow"/>
                <w:b/>
                <w:bCs/>
                <w:sz w:val="22"/>
                <w:szCs w:val="22"/>
                <w:lang w:val="en-IN" w:eastAsia="en-IN"/>
              </w:rPr>
            </w:pPr>
            <w:r w:rsidRPr="00A4295F">
              <w:rPr>
                <w:rFonts w:ascii="Arial Narrow" w:hAnsi="Arial Narrow"/>
                <w:b/>
                <w:bCs/>
                <w:sz w:val="22"/>
                <w:szCs w:val="22"/>
                <w:lang w:val="en-IN" w:eastAsia="en-IN"/>
              </w:rPr>
              <w:t>11KV Feeders with working meter</w:t>
            </w:r>
          </w:p>
        </w:tc>
        <w:tc>
          <w:tcPr>
            <w:tcW w:w="2410" w:type="dxa"/>
            <w:tcBorders>
              <w:top w:val="nil"/>
              <w:left w:val="nil"/>
              <w:bottom w:val="nil"/>
              <w:right w:val="single" w:sz="4" w:space="0" w:color="000000"/>
            </w:tcBorders>
            <w:shd w:val="clear" w:color="auto" w:fill="auto"/>
            <w:vAlign w:val="center"/>
            <w:hideMark/>
          </w:tcPr>
          <w:p w:rsidR="00784A11" w:rsidRPr="00A4295F" w:rsidRDefault="00784A11" w:rsidP="00351C2A">
            <w:pPr>
              <w:jc w:val="both"/>
              <w:rPr>
                <w:rFonts w:ascii="Arial Narrow" w:hAnsi="Arial Narrow"/>
                <w:b/>
                <w:bCs/>
                <w:lang w:val="en-IN" w:eastAsia="en-IN"/>
              </w:rPr>
            </w:pPr>
            <w:r w:rsidRPr="00A4295F">
              <w:rPr>
                <w:rFonts w:ascii="Arial Narrow" w:hAnsi="Arial Narrow"/>
                <w:b/>
                <w:bCs/>
                <w:lang w:val="en-IN" w:eastAsia="en-IN"/>
              </w:rPr>
              <w:t>No. of feeders under Audit</w:t>
            </w:r>
          </w:p>
        </w:tc>
      </w:tr>
      <w:tr w:rsidR="00784A11" w:rsidRPr="00A4295F" w:rsidTr="00351C2A">
        <w:trPr>
          <w:trHeight w:val="600"/>
        </w:trPr>
        <w:tc>
          <w:tcPr>
            <w:tcW w:w="19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84A11" w:rsidRPr="00A4295F" w:rsidRDefault="00784A11" w:rsidP="00351C2A">
            <w:pPr>
              <w:jc w:val="both"/>
              <w:rPr>
                <w:rFonts w:ascii="Arial Narrow" w:hAnsi="Arial Narrow"/>
                <w:b/>
                <w:bCs/>
                <w:sz w:val="20"/>
                <w:szCs w:val="20"/>
                <w:lang w:val="en-IN" w:eastAsia="en-IN"/>
              </w:rPr>
            </w:pPr>
            <w:r w:rsidRPr="00A4295F">
              <w:rPr>
                <w:rFonts w:ascii="Arial Narrow" w:hAnsi="Arial Narrow"/>
                <w:b/>
                <w:bCs/>
                <w:sz w:val="20"/>
                <w:szCs w:val="20"/>
                <w:lang w:val="en-IN" w:eastAsia="en-IN"/>
              </w:rPr>
              <w:t>BED BALASORE</w:t>
            </w:r>
          </w:p>
        </w:tc>
        <w:tc>
          <w:tcPr>
            <w:tcW w:w="2146" w:type="dxa"/>
            <w:tcBorders>
              <w:top w:val="single" w:sz="4" w:space="0" w:color="000000"/>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24</w:t>
            </w:r>
          </w:p>
        </w:tc>
        <w:tc>
          <w:tcPr>
            <w:tcW w:w="2410" w:type="dxa"/>
            <w:tcBorders>
              <w:top w:val="single" w:sz="4" w:space="0" w:color="000000"/>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16</w:t>
            </w:r>
          </w:p>
        </w:tc>
        <w:tc>
          <w:tcPr>
            <w:tcW w:w="2410" w:type="dxa"/>
            <w:tcBorders>
              <w:top w:val="single" w:sz="4" w:space="0" w:color="000000"/>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16</w:t>
            </w:r>
          </w:p>
        </w:tc>
      </w:tr>
      <w:tr w:rsidR="00784A11" w:rsidRPr="00A4295F" w:rsidTr="00351C2A">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784A11" w:rsidRPr="00A4295F" w:rsidRDefault="00784A11" w:rsidP="00351C2A">
            <w:pPr>
              <w:jc w:val="both"/>
              <w:rPr>
                <w:rFonts w:ascii="Arial Narrow" w:hAnsi="Arial Narrow"/>
                <w:b/>
                <w:bCs/>
                <w:sz w:val="20"/>
                <w:szCs w:val="20"/>
                <w:lang w:val="en-IN" w:eastAsia="en-IN"/>
              </w:rPr>
            </w:pPr>
            <w:r w:rsidRPr="00A4295F">
              <w:rPr>
                <w:rFonts w:ascii="Arial Narrow" w:hAnsi="Arial Narrow"/>
                <w:b/>
                <w:bCs/>
                <w:sz w:val="20"/>
                <w:szCs w:val="20"/>
                <w:lang w:val="en-IN" w:eastAsia="en-IN"/>
              </w:rPr>
              <w:t>BTED BASTA</w:t>
            </w:r>
          </w:p>
        </w:tc>
        <w:tc>
          <w:tcPr>
            <w:tcW w:w="2146"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31</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25</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17</w:t>
            </w:r>
          </w:p>
        </w:tc>
      </w:tr>
      <w:tr w:rsidR="00784A11" w:rsidRPr="00A4295F" w:rsidTr="00351C2A">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784A11" w:rsidRPr="00A4295F" w:rsidRDefault="00784A11" w:rsidP="00351C2A">
            <w:pPr>
              <w:jc w:val="both"/>
              <w:rPr>
                <w:rFonts w:ascii="Arial Narrow" w:hAnsi="Arial Narrow"/>
                <w:b/>
                <w:bCs/>
                <w:sz w:val="20"/>
                <w:szCs w:val="20"/>
                <w:lang w:val="en-IN" w:eastAsia="en-IN"/>
              </w:rPr>
            </w:pPr>
            <w:r w:rsidRPr="00A4295F">
              <w:rPr>
                <w:rFonts w:ascii="Arial Narrow" w:hAnsi="Arial Narrow"/>
                <w:b/>
                <w:bCs/>
                <w:sz w:val="20"/>
                <w:szCs w:val="20"/>
                <w:lang w:val="en-IN" w:eastAsia="en-IN"/>
              </w:rPr>
              <w:t>JED JALESWAR</w:t>
            </w:r>
          </w:p>
        </w:tc>
        <w:tc>
          <w:tcPr>
            <w:tcW w:w="2146"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32</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27</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27</w:t>
            </w:r>
          </w:p>
        </w:tc>
      </w:tr>
      <w:tr w:rsidR="00784A11" w:rsidRPr="00A4295F" w:rsidTr="00351C2A">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784A11" w:rsidRPr="00A4295F" w:rsidRDefault="00784A11" w:rsidP="00351C2A">
            <w:pPr>
              <w:jc w:val="both"/>
              <w:rPr>
                <w:rFonts w:ascii="Arial Narrow" w:hAnsi="Arial Narrow"/>
                <w:b/>
                <w:bCs/>
                <w:sz w:val="20"/>
                <w:szCs w:val="20"/>
                <w:lang w:val="en-IN" w:eastAsia="en-IN"/>
              </w:rPr>
            </w:pPr>
            <w:r w:rsidRPr="00A4295F">
              <w:rPr>
                <w:rFonts w:ascii="Arial Narrow" w:hAnsi="Arial Narrow"/>
                <w:b/>
                <w:bCs/>
                <w:sz w:val="20"/>
                <w:szCs w:val="20"/>
                <w:lang w:val="en-IN" w:eastAsia="en-IN"/>
              </w:rPr>
              <w:lastRenderedPageBreak/>
              <w:t>CED BALASORE</w:t>
            </w:r>
          </w:p>
        </w:tc>
        <w:tc>
          <w:tcPr>
            <w:tcW w:w="2146"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46</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40</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38</w:t>
            </w:r>
          </w:p>
        </w:tc>
      </w:tr>
      <w:tr w:rsidR="00784A11" w:rsidRPr="00A4295F" w:rsidTr="00351C2A">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784A11" w:rsidRPr="00A4295F" w:rsidRDefault="00784A11" w:rsidP="00351C2A">
            <w:pPr>
              <w:jc w:val="both"/>
              <w:rPr>
                <w:rFonts w:ascii="Arial Narrow" w:hAnsi="Arial Narrow"/>
                <w:b/>
                <w:bCs/>
                <w:sz w:val="20"/>
                <w:szCs w:val="20"/>
                <w:lang w:val="en-IN" w:eastAsia="en-IN"/>
              </w:rPr>
            </w:pPr>
            <w:r w:rsidRPr="00A4295F">
              <w:rPr>
                <w:rFonts w:ascii="Arial Narrow" w:hAnsi="Arial Narrow"/>
                <w:b/>
                <w:bCs/>
                <w:sz w:val="20"/>
                <w:szCs w:val="20"/>
                <w:lang w:val="en-IN" w:eastAsia="en-IN"/>
              </w:rPr>
              <w:t>SED SORO</w:t>
            </w:r>
          </w:p>
        </w:tc>
        <w:tc>
          <w:tcPr>
            <w:tcW w:w="2146"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58</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44</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35</w:t>
            </w:r>
          </w:p>
        </w:tc>
      </w:tr>
      <w:tr w:rsidR="00784A11" w:rsidRPr="00A4295F" w:rsidTr="00351C2A">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784A11" w:rsidRPr="00A4295F" w:rsidRDefault="00784A11" w:rsidP="00351C2A">
            <w:pPr>
              <w:jc w:val="both"/>
              <w:rPr>
                <w:rFonts w:ascii="Arial Narrow" w:hAnsi="Arial Narrow"/>
                <w:b/>
                <w:bCs/>
                <w:sz w:val="20"/>
                <w:szCs w:val="20"/>
                <w:lang w:val="en-IN" w:eastAsia="en-IN"/>
              </w:rPr>
            </w:pPr>
            <w:r w:rsidRPr="00A4295F">
              <w:rPr>
                <w:rFonts w:ascii="Arial Narrow" w:hAnsi="Arial Narrow"/>
                <w:b/>
                <w:bCs/>
                <w:sz w:val="20"/>
                <w:szCs w:val="20"/>
                <w:lang w:val="en-IN" w:eastAsia="en-IN"/>
              </w:rPr>
              <w:t>BALASORE CIRCLE</w:t>
            </w:r>
          </w:p>
        </w:tc>
        <w:tc>
          <w:tcPr>
            <w:tcW w:w="2146"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sz w:val="36"/>
                <w:szCs w:val="36"/>
              </w:rPr>
            </w:pPr>
            <w:r w:rsidRPr="00A4295F">
              <w:rPr>
                <w:rFonts w:ascii="Arial Narrow" w:hAnsi="Arial Narrow" w:cs="Arial"/>
                <w:b/>
                <w:bCs/>
                <w:kern w:val="24"/>
                <w:sz w:val="28"/>
                <w:szCs w:val="28"/>
              </w:rPr>
              <w:t>191</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sz w:val="36"/>
                <w:szCs w:val="36"/>
              </w:rPr>
            </w:pPr>
            <w:r w:rsidRPr="00A4295F">
              <w:rPr>
                <w:rFonts w:ascii="Arial Narrow" w:hAnsi="Arial Narrow" w:cs="Arial"/>
                <w:b/>
                <w:bCs/>
                <w:kern w:val="24"/>
                <w:sz w:val="28"/>
                <w:szCs w:val="28"/>
              </w:rPr>
              <w:t>152</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sz w:val="36"/>
                <w:szCs w:val="36"/>
              </w:rPr>
            </w:pPr>
            <w:r w:rsidRPr="00A4295F">
              <w:rPr>
                <w:rFonts w:ascii="Arial Narrow" w:hAnsi="Arial Narrow" w:cs="Arial"/>
                <w:b/>
                <w:bCs/>
                <w:kern w:val="24"/>
                <w:sz w:val="28"/>
                <w:szCs w:val="28"/>
              </w:rPr>
              <w:t>133</w:t>
            </w:r>
          </w:p>
        </w:tc>
      </w:tr>
      <w:tr w:rsidR="00784A11" w:rsidRPr="00A4295F" w:rsidTr="00351C2A">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784A11" w:rsidRPr="00A4295F" w:rsidRDefault="00784A11" w:rsidP="00351C2A">
            <w:pPr>
              <w:jc w:val="both"/>
              <w:rPr>
                <w:rFonts w:ascii="Arial Narrow" w:hAnsi="Arial Narrow"/>
                <w:b/>
                <w:bCs/>
                <w:sz w:val="20"/>
                <w:szCs w:val="20"/>
                <w:lang w:val="en-IN" w:eastAsia="en-IN"/>
              </w:rPr>
            </w:pPr>
            <w:r w:rsidRPr="00A4295F">
              <w:rPr>
                <w:rFonts w:ascii="Arial Narrow" w:hAnsi="Arial Narrow"/>
                <w:b/>
                <w:bCs/>
                <w:sz w:val="20"/>
                <w:szCs w:val="20"/>
                <w:lang w:val="en-IN" w:eastAsia="en-IN"/>
              </w:rPr>
              <w:t>BNED BHADRAK</w:t>
            </w:r>
          </w:p>
        </w:tc>
        <w:tc>
          <w:tcPr>
            <w:tcW w:w="2146"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58</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49</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45</w:t>
            </w:r>
          </w:p>
        </w:tc>
      </w:tr>
      <w:tr w:rsidR="00784A11" w:rsidRPr="00A4295F" w:rsidTr="00351C2A">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784A11" w:rsidRPr="00A4295F" w:rsidRDefault="00784A11" w:rsidP="00351C2A">
            <w:pPr>
              <w:jc w:val="both"/>
              <w:rPr>
                <w:rFonts w:ascii="Arial Narrow" w:hAnsi="Arial Narrow"/>
                <w:b/>
                <w:bCs/>
                <w:sz w:val="20"/>
                <w:szCs w:val="20"/>
                <w:lang w:val="en-IN" w:eastAsia="en-IN"/>
              </w:rPr>
            </w:pPr>
            <w:r w:rsidRPr="00A4295F">
              <w:rPr>
                <w:rFonts w:ascii="Arial Narrow" w:hAnsi="Arial Narrow"/>
                <w:b/>
                <w:bCs/>
                <w:sz w:val="20"/>
                <w:szCs w:val="20"/>
                <w:lang w:val="en-IN" w:eastAsia="en-IN"/>
              </w:rPr>
              <w:t>BSED BHADRAK</w:t>
            </w:r>
          </w:p>
        </w:tc>
        <w:tc>
          <w:tcPr>
            <w:tcW w:w="2146"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42</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35</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35</w:t>
            </w:r>
          </w:p>
        </w:tc>
      </w:tr>
      <w:tr w:rsidR="00784A11" w:rsidRPr="00A4295F" w:rsidTr="00351C2A">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784A11" w:rsidRPr="00A4295F" w:rsidRDefault="00784A11" w:rsidP="00351C2A">
            <w:pPr>
              <w:jc w:val="both"/>
              <w:rPr>
                <w:rFonts w:ascii="Arial Narrow" w:hAnsi="Arial Narrow"/>
                <w:b/>
                <w:bCs/>
                <w:sz w:val="20"/>
                <w:szCs w:val="20"/>
                <w:lang w:val="en-IN" w:eastAsia="en-IN"/>
              </w:rPr>
            </w:pPr>
            <w:r w:rsidRPr="00A4295F">
              <w:rPr>
                <w:rFonts w:ascii="Arial Narrow" w:hAnsi="Arial Narrow"/>
                <w:b/>
                <w:bCs/>
                <w:sz w:val="20"/>
                <w:szCs w:val="20"/>
                <w:lang w:val="en-IN" w:eastAsia="en-IN"/>
              </w:rPr>
              <w:t>BHADRAK CIRCLE</w:t>
            </w:r>
          </w:p>
        </w:tc>
        <w:tc>
          <w:tcPr>
            <w:tcW w:w="2146"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sz w:val="36"/>
                <w:szCs w:val="36"/>
              </w:rPr>
            </w:pPr>
            <w:r w:rsidRPr="00A4295F">
              <w:rPr>
                <w:rFonts w:ascii="Arial Narrow" w:hAnsi="Arial Narrow" w:cs="Arial"/>
                <w:b/>
                <w:bCs/>
                <w:kern w:val="24"/>
                <w:sz w:val="28"/>
                <w:szCs w:val="28"/>
              </w:rPr>
              <w:t>100</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sz w:val="36"/>
                <w:szCs w:val="36"/>
              </w:rPr>
            </w:pPr>
            <w:r w:rsidRPr="00A4295F">
              <w:rPr>
                <w:rFonts w:ascii="Arial Narrow" w:hAnsi="Arial Narrow" w:cs="Arial"/>
                <w:b/>
                <w:bCs/>
                <w:kern w:val="24"/>
                <w:sz w:val="28"/>
                <w:szCs w:val="28"/>
              </w:rPr>
              <w:t>84</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sz w:val="36"/>
                <w:szCs w:val="36"/>
              </w:rPr>
            </w:pPr>
            <w:r w:rsidRPr="00A4295F">
              <w:rPr>
                <w:rFonts w:ascii="Arial Narrow" w:hAnsi="Arial Narrow" w:cs="Arial"/>
                <w:b/>
                <w:bCs/>
                <w:kern w:val="24"/>
                <w:sz w:val="28"/>
                <w:szCs w:val="28"/>
              </w:rPr>
              <w:t>80</w:t>
            </w:r>
          </w:p>
        </w:tc>
      </w:tr>
      <w:tr w:rsidR="00784A11" w:rsidRPr="00A4295F" w:rsidTr="00351C2A">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784A11" w:rsidRPr="00A4295F" w:rsidRDefault="00784A11" w:rsidP="00351C2A">
            <w:pPr>
              <w:jc w:val="both"/>
              <w:rPr>
                <w:rFonts w:ascii="Arial Narrow" w:hAnsi="Arial Narrow"/>
                <w:b/>
                <w:bCs/>
                <w:sz w:val="20"/>
                <w:szCs w:val="20"/>
                <w:lang w:val="en-IN" w:eastAsia="en-IN"/>
              </w:rPr>
            </w:pPr>
            <w:r w:rsidRPr="00A4295F">
              <w:rPr>
                <w:rFonts w:ascii="Arial Narrow" w:hAnsi="Arial Narrow"/>
                <w:b/>
                <w:bCs/>
                <w:sz w:val="20"/>
                <w:szCs w:val="20"/>
                <w:lang w:val="en-IN" w:eastAsia="en-IN"/>
              </w:rPr>
              <w:t>BPED BARIPADA</w:t>
            </w:r>
          </w:p>
        </w:tc>
        <w:tc>
          <w:tcPr>
            <w:tcW w:w="2146"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91</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62</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58</w:t>
            </w:r>
          </w:p>
        </w:tc>
      </w:tr>
      <w:tr w:rsidR="00784A11" w:rsidRPr="00A4295F" w:rsidTr="00351C2A">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784A11" w:rsidRPr="00A4295F" w:rsidRDefault="00784A11" w:rsidP="00351C2A">
            <w:pPr>
              <w:jc w:val="both"/>
              <w:rPr>
                <w:rFonts w:ascii="Arial Narrow" w:hAnsi="Arial Narrow"/>
                <w:b/>
                <w:bCs/>
                <w:sz w:val="20"/>
                <w:szCs w:val="20"/>
                <w:lang w:val="en-IN" w:eastAsia="en-IN"/>
              </w:rPr>
            </w:pPr>
            <w:r w:rsidRPr="00A4295F">
              <w:rPr>
                <w:rFonts w:ascii="Arial Narrow" w:hAnsi="Arial Narrow"/>
                <w:b/>
                <w:bCs/>
                <w:sz w:val="20"/>
                <w:szCs w:val="20"/>
                <w:lang w:val="en-IN" w:eastAsia="en-IN"/>
              </w:rPr>
              <w:t>UED UDALA</w:t>
            </w:r>
          </w:p>
        </w:tc>
        <w:tc>
          <w:tcPr>
            <w:tcW w:w="2146"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33</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22</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15</w:t>
            </w:r>
          </w:p>
        </w:tc>
      </w:tr>
      <w:tr w:rsidR="00784A11" w:rsidRPr="00A4295F" w:rsidTr="00351C2A">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784A11" w:rsidRPr="00A4295F" w:rsidRDefault="00784A11" w:rsidP="00351C2A">
            <w:pPr>
              <w:jc w:val="both"/>
              <w:rPr>
                <w:rFonts w:ascii="Arial Narrow" w:hAnsi="Arial Narrow"/>
                <w:b/>
                <w:bCs/>
                <w:sz w:val="20"/>
                <w:szCs w:val="20"/>
                <w:lang w:val="en-IN" w:eastAsia="en-IN"/>
              </w:rPr>
            </w:pPr>
            <w:r w:rsidRPr="00A4295F">
              <w:rPr>
                <w:rFonts w:ascii="Arial Narrow" w:hAnsi="Arial Narrow"/>
                <w:b/>
                <w:bCs/>
                <w:sz w:val="20"/>
                <w:szCs w:val="20"/>
                <w:lang w:val="en-IN" w:eastAsia="en-IN"/>
              </w:rPr>
              <w:t>RED RAIRANGPUR</w:t>
            </w:r>
          </w:p>
        </w:tc>
        <w:tc>
          <w:tcPr>
            <w:tcW w:w="2146"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52</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43</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43</w:t>
            </w:r>
          </w:p>
        </w:tc>
      </w:tr>
      <w:tr w:rsidR="00784A11" w:rsidRPr="00A4295F" w:rsidTr="00351C2A">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784A11" w:rsidRPr="00A4295F" w:rsidRDefault="00784A11" w:rsidP="00351C2A">
            <w:pPr>
              <w:jc w:val="both"/>
              <w:rPr>
                <w:rFonts w:ascii="Arial Narrow" w:hAnsi="Arial Narrow"/>
                <w:b/>
                <w:bCs/>
                <w:sz w:val="20"/>
                <w:szCs w:val="20"/>
                <w:lang w:val="en-IN" w:eastAsia="en-IN"/>
              </w:rPr>
            </w:pPr>
            <w:r w:rsidRPr="00A4295F">
              <w:rPr>
                <w:rFonts w:ascii="Arial Narrow" w:hAnsi="Arial Narrow"/>
                <w:b/>
                <w:bCs/>
                <w:sz w:val="20"/>
                <w:szCs w:val="20"/>
                <w:lang w:val="en-IN" w:eastAsia="en-IN"/>
              </w:rPr>
              <w:t>BARIPADA CIRCLE</w:t>
            </w:r>
          </w:p>
        </w:tc>
        <w:tc>
          <w:tcPr>
            <w:tcW w:w="2146"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sz w:val="36"/>
                <w:szCs w:val="36"/>
              </w:rPr>
            </w:pPr>
            <w:r w:rsidRPr="00A4295F">
              <w:rPr>
                <w:rFonts w:ascii="Arial Narrow" w:hAnsi="Arial Narrow" w:cs="Arial"/>
                <w:b/>
                <w:bCs/>
                <w:kern w:val="24"/>
                <w:sz w:val="28"/>
                <w:szCs w:val="28"/>
              </w:rPr>
              <w:t>176</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sz w:val="36"/>
                <w:szCs w:val="36"/>
              </w:rPr>
            </w:pPr>
            <w:r w:rsidRPr="00A4295F">
              <w:rPr>
                <w:rFonts w:ascii="Arial Narrow" w:hAnsi="Arial Narrow" w:cs="Arial"/>
                <w:b/>
                <w:bCs/>
                <w:kern w:val="24"/>
                <w:sz w:val="28"/>
                <w:szCs w:val="28"/>
              </w:rPr>
              <w:t>127</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sz w:val="36"/>
                <w:szCs w:val="36"/>
              </w:rPr>
            </w:pPr>
            <w:r w:rsidRPr="00A4295F">
              <w:rPr>
                <w:rFonts w:ascii="Arial Narrow" w:hAnsi="Arial Narrow" w:cs="Arial"/>
                <w:b/>
                <w:bCs/>
                <w:kern w:val="24"/>
                <w:sz w:val="28"/>
                <w:szCs w:val="28"/>
              </w:rPr>
              <w:t>116</w:t>
            </w:r>
          </w:p>
        </w:tc>
      </w:tr>
      <w:tr w:rsidR="00784A11" w:rsidRPr="00A4295F" w:rsidTr="00351C2A">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784A11" w:rsidRPr="00A4295F" w:rsidRDefault="00784A11" w:rsidP="00351C2A">
            <w:pPr>
              <w:jc w:val="both"/>
              <w:rPr>
                <w:rFonts w:ascii="Arial Narrow" w:hAnsi="Arial Narrow"/>
                <w:b/>
                <w:bCs/>
                <w:sz w:val="20"/>
                <w:szCs w:val="20"/>
                <w:lang w:val="en-IN" w:eastAsia="en-IN"/>
              </w:rPr>
            </w:pPr>
            <w:r w:rsidRPr="00A4295F">
              <w:rPr>
                <w:rFonts w:ascii="Arial Narrow" w:hAnsi="Arial Narrow"/>
                <w:b/>
                <w:bCs/>
                <w:sz w:val="20"/>
                <w:szCs w:val="20"/>
                <w:lang w:val="en-IN" w:eastAsia="en-IN"/>
              </w:rPr>
              <w:t>JRED JAJPUR ROAD</w:t>
            </w:r>
          </w:p>
        </w:tc>
        <w:tc>
          <w:tcPr>
            <w:tcW w:w="2146"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39</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32</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29</w:t>
            </w:r>
          </w:p>
        </w:tc>
      </w:tr>
      <w:tr w:rsidR="00784A11" w:rsidRPr="00A4295F" w:rsidTr="00351C2A">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784A11" w:rsidRPr="00A4295F" w:rsidRDefault="00784A11" w:rsidP="00351C2A">
            <w:pPr>
              <w:jc w:val="both"/>
              <w:rPr>
                <w:rFonts w:ascii="Arial Narrow" w:hAnsi="Arial Narrow"/>
                <w:b/>
                <w:bCs/>
                <w:sz w:val="20"/>
                <w:szCs w:val="20"/>
                <w:lang w:val="en-IN" w:eastAsia="en-IN"/>
              </w:rPr>
            </w:pPr>
            <w:r w:rsidRPr="00A4295F">
              <w:rPr>
                <w:rFonts w:ascii="Arial Narrow" w:hAnsi="Arial Narrow"/>
                <w:b/>
                <w:bCs/>
                <w:sz w:val="20"/>
                <w:szCs w:val="20"/>
                <w:lang w:val="en-IN" w:eastAsia="en-IN"/>
              </w:rPr>
              <w:t>JTED JAJPUR TOWN</w:t>
            </w:r>
          </w:p>
        </w:tc>
        <w:tc>
          <w:tcPr>
            <w:tcW w:w="2146"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26</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24</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24</w:t>
            </w:r>
          </w:p>
        </w:tc>
      </w:tr>
      <w:tr w:rsidR="00784A11" w:rsidRPr="00A4295F" w:rsidTr="00351C2A">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784A11" w:rsidRPr="00A4295F" w:rsidRDefault="00784A11" w:rsidP="00351C2A">
            <w:pPr>
              <w:jc w:val="both"/>
              <w:rPr>
                <w:rFonts w:ascii="Arial Narrow" w:hAnsi="Arial Narrow"/>
                <w:b/>
                <w:bCs/>
                <w:sz w:val="20"/>
                <w:szCs w:val="20"/>
                <w:lang w:val="en-IN" w:eastAsia="en-IN"/>
              </w:rPr>
            </w:pPr>
            <w:r w:rsidRPr="00A4295F">
              <w:rPr>
                <w:rFonts w:ascii="Arial Narrow" w:hAnsi="Arial Narrow"/>
                <w:b/>
                <w:bCs/>
                <w:sz w:val="20"/>
                <w:szCs w:val="20"/>
                <w:lang w:val="en-IN" w:eastAsia="en-IN"/>
              </w:rPr>
              <w:t>KUED KUAKHIA</w:t>
            </w:r>
          </w:p>
        </w:tc>
        <w:tc>
          <w:tcPr>
            <w:tcW w:w="2146"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39</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34</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28</w:t>
            </w:r>
          </w:p>
        </w:tc>
      </w:tr>
      <w:tr w:rsidR="00784A11" w:rsidRPr="00A4295F" w:rsidTr="00351C2A">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784A11" w:rsidRPr="00A4295F" w:rsidRDefault="00784A11" w:rsidP="00351C2A">
            <w:pPr>
              <w:jc w:val="both"/>
              <w:rPr>
                <w:rFonts w:ascii="Arial Narrow" w:hAnsi="Arial Narrow"/>
                <w:b/>
                <w:bCs/>
                <w:sz w:val="20"/>
                <w:szCs w:val="20"/>
                <w:lang w:val="en-IN" w:eastAsia="en-IN"/>
              </w:rPr>
            </w:pPr>
            <w:r w:rsidRPr="00A4295F">
              <w:rPr>
                <w:rFonts w:ascii="Arial Narrow" w:hAnsi="Arial Narrow"/>
                <w:b/>
                <w:bCs/>
                <w:sz w:val="20"/>
                <w:szCs w:val="20"/>
                <w:lang w:val="en-IN" w:eastAsia="en-IN"/>
              </w:rPr>
              <w:t>JAJPUR CIRCLE</w:t>
            </w:r>
          </w:p>
        </w:tc>
        <w:tc>
          <w:tcPr>
            <w:tcW w:w="2146"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sz w:val="36"/>
                <w:szCs w:val="36"/>
              </w:rPr>
            </w:pPr>
            <w:r w:rsidRPr="00A4295F">
              <w:rPr>
                <w:rFonts w:ascii="Arial Narrow" w:hAnsi="Arial Narrow" w:cs="Arial"/>
                <w:b/>
                <w:bCs/>
                <w:kern w:val="24"/>
                <w:sz w:val="28"/>
                <w:szCs w:val="28"/>
              </w:rPr>
              <w:t>104</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sz w:val="36"/>
                <w:szCs w:val="36"/>
              </w:rPr>
            </w:pPr>
            <w:r w:rsidRPr="00A4295F">
              <w:rPr>
                <w:rFonts w:ascii="Arial Narrow" w:hAnsi="Arial Narrow" w:cs="Arial"/>
                <w:b/>
                <w:bCs/>
                <w:kern w:val="24"/>
                <w:sz w:val="28"/>
                <w:szCs w:val="28"/>
              </w:rPr>
              <w:t>90</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sz w:val="36"/>
                <w:szCs w:val="36"/>
              </w:rPr>
            </w:pPr>
            <w:r w:rsidRPr="00A4295F">
              <w:rPr>
                <w:rFonts w:ascii="Arial Narrow" w:hAnsi="Arial Narrow" w:cs="Arial"/>
                <w:b/>
                <w:bCs/>
                <w:kern w:val="24"/>
                <w:sz w:val="28"/>
                <w:szCs w:val="28"/>
              </w:rPr>
              <w:t>81</w:t>
            </w:r>
          </w:p>
        </w:tc>
      </w:tr>
      <w:tr w:rsidR="00784A11" w:rsidRPr="00A4295F" w:rsidTr="00351C2A">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784A11" w:rsidRPr="00A4295F" w:rsidRDefault="00784A11" w:rsidP="00351C2A">
            <w:pPr>
              <w:jc w:val="both"/>
              <w:rPr>
                <w:rFonts w:ascii="Arial Narrow" w:hAnsi="Arial Narrow"/>
                <w:b/>
                <w:bCs/>
                <w:sz w:val="20"/>
                <w:szCs w:val="20"/>
                <w:lang w:val="en-IN" w:eastAsia="en-IN"/>
              </w:rPr>
            </w:pPr>
            <w:r w:rsidRPr="00A4295F">
              <w:rPr>
                <w:rFonts w:ascii="Arial Narrow" w:hAnsi="Arial Narrow"/>
                <w:b/>
                <w:bCs/>
                <w:sz w:val="20"/>
                <w:szCs w:val="20"/>
                <w:lang w:val="en-IN" w:eastAsia="en-IN"/>
              </w:rPr>
              <w:t>KED KEONJHAR</w:t>
            </w:r>
          </w:p>
        </w:tc>
        <w:tc>
          <w:tcPr>
            <w:tcW w:w="2146"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41</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41</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41</w:t>
            </w:r>
          </w:p>
        </w:tc>
      </w:tr>
      <w:tr w:rsidR="00784A11" w:rsidRPr="00A4295F" w:rsidTr="00351C2A">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784A11" w:rsidRPr="00A4295F" w:rsidRDefault="00784A11" w:rsidP="00351C2A">
            <w:pPr>
              <w:jc w:val="both"/>
              <w:rPr>
                <w:rFonts w:ascii="Arial Narrow" w:hAnsi="Arial Narrow"/>
                <w:b/>
                <w:bCs/>
                <w:sz w:val="20"/>
                <w:szCs w:val="20"/>
                <w:lang w:val="en-IN" w:eastAsia="en-IN"/>
              </w:rPr>
            </w:pPr>
            <w:r w:rsidRPr="00A4295F">
              <w:rPr>
                <w:rFonts w:ascii="Arial Narrow" w:hAnsi="Arial Narrow"/>
                <w:b/>
                <w:bCs/>
                <w:sz w:val="20"/>
                <w:szCs w:val="20"/>
                <w:lang w:val="en-IN" w:eastAsia="en-IN"/>
              </w:rPr>
              <w:t>JOED JODA</w:t>
            </w:r>
          </w:p>
        </w:tc>
        <w:tc>
          <w:tcPr>
            <w:tcW w:w="2146"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32</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32</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32</w:t>
            </w:r>
          </w:p>
        </w:tc>
      </w:tr>
      <w:tr w:rsidR="00784A11" w:rsidRPr="00A4295F" w:rsidTr="00351C2A">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784A11" w:rsidRPr="00A4295F" w:rsidRDefault="00784A11" w:rsidP="00351C2A">
            <w:pPr>
              <w:jc w:val="both"/>
              <w:rPr>
                <w:rFonts w:ascii="Arial Narrow" w:hAnsi="Arial Narrow"/>
                <w:b/>
                <w:bCs/>
                <w:sz w:val="20"/>
                <w:szCs w:val="20"/>
                <w:lang w:val="en-IN" w:eastAsia="en-IN"/>
              </w:rPr>
            </w:pPr>
            <w:r w:rsidRPr="00A4295F">
              <w:rPr>
                <w:rFonts w:ascii="Arial Narrow" w:hAnsi="Arial Narrow"/>
                <w:b/>
                <w:bCs/>
                <w:sz w:val="20"/>
                <w:szCs w:val="20"/>
                <w:lang w:val="en-IN" w:eastAsia="en-IN"/>
              </w:rPr>
              <w:t>AED ANANDAPUR</w:t>
            </w:r>
          </w:p>
        </w:tc>
        <w:tc>
          <w:tcPr>
            <w:tcW w:w="2146"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52</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46</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rPr>
            </w:pPr>
            <w:r w:rsidRPr="00A4295F">
              <w:rPr>
                <w:rFonts w:ascii="Arial Narrow" w:hAnsi="Arial Narrow" w:cs="Arial"/>
                <w:b/>
                <w:bCs/>
                <w:kern w:val="24"/>
              </w:rPr>
              <w:t>37</w:t>
            </w:r>
          </w:p>
        </w:tc>
      </w:tr>
      <w:tr w:rsidR="00784A11" w:rsidRPr="00A4295F" w:rsidTr="00351C2A">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784A11" w:rsidRPr="00A4295F" w:rsidRDefault="00784A11" w:rsidP="00351C2A">
            <w:pPr>
              <w:jc w:val="both"/>
              <w:rPr>
                <w:rFonts w:ascii="Arial Narrow" w:hAnsi="Arial Narrow"/>
                <w:b/>
                <w:bCs/>
                <w:sz w:val="20"/>
                <w:szCs w:val="20"/>
                <w:lang w:val="en-IN" w:eastAsia="en-IN"/>
              </w:rPr>
            </w:pPr>
            <w:r w:rsidRPr="00A4295F">
              <w:rPr>
                <w:rFonts w:ascii="Arial Narrow" w:hAnsi="Arial Narrow"/>
                <w:b/>
                <w:bCs/>
                <w:sz w:val="20"/>
                <w:szCs w:val="20"/>
                <w:lang w:val="en-IN" w:eastAsia="en-IN"/>
              </w:rPr>
              <w:t>KEONJHAR CIRCLE</w:t>
            </w:r>
          </w:p>
        </w:tc>
        <w:tc>
          <w:tcPr>
            <w:tcW w:w="2146"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sz w:val="36"/>
                <w:szCs w:val="36"/>
              </w:rPr>
            </w:pPr>
            <w:r w:rsidRPr="00A4295F">
              <w:rPr>
                <w:rFonts w:ascii="Arial Narrow" w:hAnsi="Arial Narrow" w:cs="Arial"/>
                <w:b/>
                <w:bCs/>
                <w:kern w:val="24"/>
                <w:sz w:val="28"/>
                <w:szCs w:val="28"/>
              </w:rPr>
              <w:t>125</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sz w:val="36"/>
                <w:szCs w:val="36"/>
              </w:rPr>
            </w:pPr>
            <w:r w:rsidRPr="00A4295F">
              <w:rPr>
                <w:rFonts w:ascii="Arial Narrow" w:hAnsi="Arial Narrow" w:cs="Arial"/>
                <w:b/>
                <w:bCs/>
                <w:kern w:val="24"/>
                <w:sz w:val="28"/>
                <w:szCs w:val="28"/>
              </w:rPr>
              <w:t>119</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sz w:val="36"/>
                <w:szCs w:val="36"/>
              </w:rPr>
            </w:pPr>
            <w:r w:rsidRPr="00A4295F">
              <w:rPr>
                <w:rFonts w:ascii="Arial Narrow" w:hAnsi="Arial Narrow" w:cs="Arial"/>
                <w:b/>
                <w:bCs/>
                <w:kern w:val="24"/>
                <w:sz w:val="28"/>
                <w:szCs w:val="28"/>
              </w:rPr>
              <w:t>110</w:t>
            </w:r>
          </w:p>
        </w:tc>
      </w:tr>
      <w:tr w:rsidR="00784A11" w:rsidRPr="00A4295F" w:rsidTr="00351C2A">
        <w:trPr>
          <w:trHeight w:val="600"/>
        </w:trPr>
        <w:tc>
          <w:tcPr>
            <w:tcW w:w="1980" w:type="dxa"/>
            <w:tcBorders>
              <w:top w:val="nil"/>
              <w:left w:val="single" w:sz="4" w:space="0" w:color="000000"/>
              <w:bottom w:val="single" w:sz="4" w:space="0" w:color="000000"/>
              <w:right w:val="single" w:sz="4" w:space="0" w:color="000000"/>
            </w:tcBorders>
            <w:shd w:val="clear" w:color="auto" w:fill="auto"/>
            <w:vAlign w:val="center"/>
            <w:hideMark/>
          </w:tcPr>
          <w:p w:rsidR="00784A11" w:rsidRPr="00A4295F" w:rsidRDefault="00784A11" w:rsidP="00351C2A">
            <w:pPr>
              <w:jc w:val="both"/>
              <w:rPr>
                <w:rFonts w:ascii="Arial Narrow" w:hAnsi="Arial Narrow"/>
                <w:b/>
                <w:bCs/>
                <w:sz w:val="20"/>
                <w:szCs w:val="20"/>
                <w:lang w:val="en-IN" w:eastAsia="en-IN"/>
              </w:rPr>
            </w:pPr>
            <w:r w:rsidRPr="00A4295F">
              <w:rPr>
                <w:rFonts w:ascii="Arial Narrow" w:hAnsi="Arial Narrow"/>
                <w:b/>
                <w:bCs/>
                <w:sz w:val="20"/>
                <w:szCs w:val="20"/>
                <w:lang w:val="en-IN" w:eastAsia="en-IN"/>
              </w:rPr>
              <w:t>NESCO AS WHOLE</w:t>
            </w:r>
          </w:p>
        </w:tc>
        <w:tc>
          <w:tcPr>
            <w:tcW w:w="2146"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sz w:val="36"/>
                <w:szCs w:val="36"/>
              </w:rPr>
            </w:pPr>
            <w:r w:rsidRPr="00A4295F">
              <w:rPr>
                <w:rFonts w:ascii="Arial Narrow" w:hAnsi="Arial Narrow" w:cs="Arial"/>
                <w:b/>
                <w:bCs/>
                <w:kern w:val="24"/>
                <w:sz w:val="28"/>
                <w:szCs w:val="28"/>
              </w:rPr>
              <w:t>696</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sz w:val="36"/>
                <w:szCs w:val="36"/>
              </w:rPr>
            </w:pPr>
            <w:r w:rsidRPr="00A4295F">
              <w:rPr>
                <w:rFonts w:ascii="Arial Narrow" w:hAnsi="Arial Narrow" w:cs="Arial"/>
                <w:b/>
                <w:bCs/>
                <w:kern w:val="24"/>
                <w:sz w:val="28"/>
                <w:szCs w:val="28"/>
              </w:rPr>
              <w:t>572</w:t>
            </w:r>
          </w:p>
        </w:tc>
        <w:tc>
          <w:tcPr>
            <w:tcW w:w="2410" w:type="dxa"/>
            <w:tcBorders>
              <w:top w:val="nil"/>
              <w:left w:val="nil"/>
              <w:bottom w:val="single" w:sz="4" w:space="0" w:color="000000"/>
              <w:right w:val="single" w:sz="4" w:space="0" w:color="000000"/>
            </w:tcBorders>
            <w:shd w:val="clear" w:color="auto" w:fill="auto"/>
            <w:vAlign w:val="center"/>
            <w:hideMark/>
          </w:tcPr>
          <w:p w:rsidR="00784A11" w:rsidRPr="00A4295F" w:rsidRDefault="00784A11" w:rsidP="00351C2A">
            <w:pPr>
              <w:pStyle w:val="NormalWeb"/>
              <w:spacing w:before="0" w:beforeAutospacing="0" w:after="0" w:afterAutospacing="0"/>
              <w:jc w:val="center"/>
              <w:textAlignment w:val="center"/>
              <w:rPr>
                <w:rFonts w:ascii="Arial" w:hAnsi="Arial" w:cs="Arial"/>
                <w:sz w:val="36"/>
                <w:szCs w:val="36"/>
              </w:rPr>
            </w:pPr>
            <w:r w:rsidRPr="00A4295F">
              <w:rPr>
                <w:rFonts w:ascii="Arial Narrow" w:hAnsi="Arial Narrow" w:cs="Arial"/>
                <w:b/>
                <w:bCs/>
                <w:kern w:val="24"/>
                <w:sz w:val="28"/>
                <w:szCs w:val="28"/>
              </w:rPr>
              <w:t>520</w:t>
            </w:r>
          </w:p>
        </w:tc>
      </w:tr>
    </w:tbl>
    <w:p w:rsidR="00784A11" w:rsidRPr="00E86106" w:rsidRDefault="00784A11" w:rsidP="00784A11">
      <w:pPr>
        <w:spacing w:line="360" w:lineRule="auto"/>
        <w:ind w:left="360"/>
        <w:jc w:val="both"/>
        <w:rPr>
          <w:rFonts w:ascii="Book Antiqua" w:hAnsi="Book Antiqua"/>
        </w:rPr>
      </w:pPr>
    </w:p>
    <w:p w:rsidR="00784A11" w:rsidRPr="00345D14" w:rsidRDefault="00784A11" w:rsidP="00345D14">
      <w:pPr>
        <w:pStyle w:val="BodyText2"/>
        <w:spacing w:line="360" w:lineRule="auto"/>
        <w:jc w:val="both"/>
        <w:rPr>
          <w:rFonts w:ascii="Cambria" w:hAnsi="Cambria" w:cs="Arial"/>
          <w:sz w:val="24"/>
          <w:szCs w:val="24"/>
          <w:lang w:val="en-GB"/>
        </w:rPr>
      </w:pPr>
      <w:r w:rsidRPr="00345D14">
        <w:rPr>
          <w:rFonts w:ascii="Cambria" w:hAnsi="Cambria" w:cs="Arial"/>
          <w:sz w:val="24"/>
          <w:szCs w:val="24"/>
          <w:lang w:val="en-GB"/>
        </w:rPr>
        <w:t xml:space="preserve">In this case, 11kv Energy input is compared with billed units of tagged consumers comprising of 1phase, 3phase and 11kv large category consumers. Each 11kv feeder has been assigned with a unique 4 digit code and consumers under the concerned 11kv feeders have been tagged. Abnormal losses found in rest of the feeders are being </w:t>
      </w:r>
      <w:r w:rsidRPr="00345D14">
        <w:rPr>
          <w:rFonts w:ascii="Cambria" w:hAnsi="Cambria" w:cs="Arial"/>
          <w:sz w:val="24"/>
          <w:szCs w:val="24"/>
          <w:lang w:val="en-GB"/>
        </w:rPr>
        <w:lastRenderedPageBreak/>
        <w:t>scrutinized at Divisional level for proper consumer tagging, bifurcation of feeders (taking advantage of ongoing scheme). Further, the 11kv high loss making feeders are checked on priority basis for detection of possible theft of energy for reduction in commercial loss. Similarly, 11kv input meters are also being checked by MRT team, (reading being taken both in CMRI and AMR) for proper PT and CT connections to the meter and deriving exact multiplying factor. The loss so arrived is inclusive of 11kv lines loss, Transformation loss of DTRs, LT lines loss and commercial loss due to theft, suppress reading and other billing anomalies.</w:t>
      </w:r>
    </w:p>
    <w:tbl>
      <w:tblPr>
        <w:tblW w:w="10221" w:type="dxa"/>
        <w:tblInd w:w="93" w:type="dxa"/>
        <w:tblLayout w:type="fixed"/>
        <w:tblLook w:val="04A0"/>
      </w:tblPr>
      <w:tblGrid>
        <w:gridCol w:w="684"/>
        <w:gridCol w:w="1857"/>
        <w:gridCol w:w="1002"/>
        <w:gridCol w:w="1036"/>
        <w:gridCol w:w="1255"/>
        <w:gridCol w:w="1269"/>
        <w:gridCol w:w="992"/>
        <w:gridCol w:w="142"/>
        <w:gridCol w:w="406"/>
        <w:gridCol w:w="586"/>
        <w:gridCol w:w="142"/>
        <w:gridCol w:w="399"/>
        <w:gridCol w:w="451"/>
      </w:tblGrid>
      <w:tr w:rsidR="00784A11" w:rsidTr="00351C2A">
        <w:trPr>
          <w:trHeight w:val="375"/>
        </w:trPr>
        <w:tc>
          <w:tcPr>
            <w:tcW w:w="1022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784A11" w:rsidRDefault="00784A11" w:rsidP="00351C2A">
            <w:pPr>
              <w:jc w:val="both"/>
              <w:rPr>
                <w:b/>
                <w:bCs/>
                <w:color w:val="000000"/>
                <w:sz w:val="28"/>
                <w:szCs w:val="28"/>
                <w:u w:val="single"/>
              </w:rPr>
            </w:pPr>
            <w:r>
              <w:rPr>
                <w:b/>
                <w:bCs/>
                <w:color w:val="000000"/>
                <w:sz w:val="28"/>
                <w:szCs w:val="28"/>
                <w:u w:val="single"/>
              </w:rPr>
              <w:t xml:space="preserve">Energy Audit Status of  Pilot project </w:t>
            </w:r>
          </w:p>
        </w:tc>
      </w:tr>
      <w:tr w:rsidR="00784A11" w:rsidTr="00351C2A">
        <w:trPr>
          <w:trHeight w:val="375"/>
        </w:trPr>
        <w:tc>
          <w:tcPr>
            <w:tcW w:w="25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84A11" w:rsidRDefault="00784A11" w:rsidP="00351C2A">
            <w:pPr>
              <w:jc w:val="both"/>
              <w:rPr>
                <w:b/>
                <w:bCs/>
                <w:color w:val="000000"/>
                <w:sz w:val="28"/>
                <w:szCs w:val="28"/>
              </w:rPr>
            </w:pPr>
            <w:r>
              <w:rPr>
                <w:b/>
                <w:bCs/>
                <w:color w:val="000000"/>
                <w:sz w:val="28"/>
                <w:szCs w:val="28"/>
              </w:rPr>
              <w:t>Phase – I</w:t>
            </w:r>
          </w:p>
        </w:tc>
        <w:tc>
          <w:tcPr>
            <w:tcW w:w="1002"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both"/>
              <w:rPr>
                <w:b/>
                <w:bCs/>
                <w:color w:val="000000"/>
                <w:sz w:val="28"/>
                <w:szCs w:val="28"/>
              </w:rPr>
            </w:pPr>
            <w:r>
              <w:rPr>
                <w:b/>
                <w:bCs/>
                <w:color w:val="000000"/>
                <w:sz w:val="28"/>
                <w:szCs w:val="28"/>
              </w:rPr>
              <w:t> </w:t>
            </w:r>
          </w:p>
        </w:tc>
        <w:tc>
          <w:tcPr>
            <w:tcW w:w="1036"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both"/>
              <w:rPr>
                <w:b/>
                <w:bCs/>
                <w:color w:val="000000"/>
                <w:sz w:val="28"/>
                <w:szCs w:val="28"/>
              </w:rPr>
            </w:pPr>
            <w:r>
              <w:rPr>
                <w:b/>
                <w:bCs/>
                <w:color w:val="000000"/>
                <w:sz w:val="28"/>
                <w:szCs w:val="28"/>
              </w:rPr>
              <w:t> </w:t>
            </w:r>
          </w:p>
        </w:tc>
        <w:tc>
          <w:tcPr>
            <w:tcW w:w="1255"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both"/>
              <w:rPr>
                <w:b/>
                <w:bCs/>
                <w:color w:val="000000"/>
                <w:sz w:val="28"/>
                <w:szCs w:val="28"/>
              </w:rPr>
            </w:pPr>
            <w:r>
              <w:rPr>
                <w:b/>
                <w:bCs/>
                <w:color w:val="000000"/>
                <w:sz w:val="28"/>
                <w:szCs w:val="28"/>
              </w:rPr>
              <w:t> </w:t>
            </w:r>
          </w:p>
        </w:tc>
        <w:tc>
          <w:tcPr>
            <w:tcW w:w="1269"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both"/>
              <w:rPr>
                <w:b/>
                <w:bCs/>
                <w:color w:val="000000"/>
                <w:sz w:val="28"/>
                <w:szCs w:val="28"/>
              </w:rPr>
            </w:pPr>
            <w:r>
              <w:rPr>
                <w:b/>
                <w:bCs/>
                <w:color w:val="000000"/>
                <w:sz w:val="28"/>
                <w:szCs w:val="28"/>
              </w:rPr>
              <w:t> </w:t>
            </w:r>
          </w:p>
        </w:tc>
        <w:tc>
          <w:tcPr>
            <w:tcW w:w="1540" w:type="dxa"/>
            <w:gridSpan w:val="3"/>
            <w:tcBorders>
              <w:top w:val="nil"/>
              <w:left w:val="nil"/>
              <w:bottom w:val="single" w:sz="4" w:space="0" w:color="auto"/>
              <w:right w:val="single" w:sz="4" w:space="0" w:color="auto"/>
            </w:tcBorders>
            <w:shd w:val="clear" w:color="auto" w:fill="auto"/>
            <w:vAlign w:val="center"/>
            <w:hideMark/>
          </w:tcPr>
          <w:p w:rsidR="00784A11" w:rsidRDefault="00784A11" w:rsidP="00351C2A">
            <w:pPr>
              <w:jc w:val="both"/>
              <w:rPr>
                <w:b/>
                <w:bCs/>
                <w:color w:val="000000"/>
                <w:sz w:val="28"/>
                <w:szCs w:val="28"/>
              </w:rPr>
            </w:pPr>
            <w:r>
              <w:rPr>
                <w:b/>
                <w:bCs/>
                <w:color w:val="000000"/>
                <w:sz w:val="28"/>
                <w:szCs w:val="28"/>
              </w:rPr>
              <w:t> </w:t>
            </w:r>
          </w:p>
        </w:tc>
        <w:tc>
          <w:tcPr>
            <w:tcW w:w="1127" w:type="dxa"/>
            <w:gridSpan w:val="3"/>
            <w:tcBorders>
              <w:top w:val="nil"/>
              <w:left w:val="nil"/>
              <w:bottom w:val="single" w:sz="4" w:space="0" w:color="auto"/>
              <w:right w:val="single" w:sz="4" w:space="0" w:color="auto"/>
            </w:tcBorders>
            <w:shd w:val="clear" w:color="auto" w:fill="auto"/>
            <w:vAlign w:val="center"/>
            <w:hideMark/>
          </w:tcPr>
          <w:p w:rsidR="00784A11" w:rsidRDefault="00784A11" w:rsidP="00351C2A">
            <w:pPr>
              <w:jc w:val="both"/>
              <w:rPr>
                <w:b/>
                <w:bCs/>
                <w:color w:val="000000"/>
                <w:sz w:val="28"/>
                <w:szCs w:val="28"/>
              </w:rPr>
            </w:pPr>
            <w:r>
              <w:rPr>
                <w:b/>
                <w:bCs/>
                <w:color w:val="000000"/>
                <w:sz w:val="28"/>
                <w:szCs w:val="28"/>
              </w:rPr>
              <w:t> </w:t>
            </w:r>
          </w:p>
        </w:tc>
        <w:tc>
          <w:tcPr>
            <w:tcW w:w="451"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both"/>
              <w:rPr>
                <w:b/>
                <w:bCs/>
                <w:color w:val="000000"/>
                <w:sz w:val="28"/>
                <w:szCs w:val="28"/>
              </w:rPr>
            </w:pPr>
            <w:r>
              <w:rPr>
                <w:b/>
                <w:bCs/>
                <w:color w:val="000000"/>
                <w:sz w:val="28"/>
                <w:szCs w:val="28"/>
              </w:rPr>
              <w:t> </w:t>
            </w:r>
          </w:p>
        </w:tc>
      </w:tr>
      <w:tr w:rsidR="00784A11" w:rsidTr="00351C2A">
        <w:trPr>
          <w:trHeight w:val="300"/>
        </w:trPr>
        <w:tc>
          <w:tcPr>
            <w:tcW w:w="684"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SL NO</w:t>
            </w:r>
          </w:p>
        </w:tc>
        <w:tc>
          <w:tcPr>
            <w:tcW w:w="1857"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Default="00784A11" w:rsidP="00351C2A">
            <w:pPr>
              <w:jc w:val="center"/>
              <w:rPr>
                <w:b/>
                <w:bCs/>
                <w:color w:val="000000"/>
                <w:sz w:val="22"/>
                <w:szCs w:val="22"/>
              </w:rPr>
            </w:pPr>
            <w:r>
              <w:rPr>
                <w:b/>
                <w:bCs/>
                <w:color w:val="000000"/>
                <w:sz w:val="22"/>
                <w:szCs w:val="22"/>
              </w:rPr>
              <w:t>Name Of The Feeder</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Default="00784A11" w:rsidP="00351C2A">
            <w:pPr>
              <w:jc w:val="center"/>
              <w:rPr>
                <w:b/>
                <w:bCs/>
                <w:color w:val="000000"/>
                <w:sz w:val="22"/>
                <w:szCs w:val="22"/>
              </w:rPr>
            </w:pPr>
            <w:r>
              <w:rPr>
                <w:b/>
                <w:bCs/>
                <w:color w:val="000000"/>
                <w:sz w:val="22"/>
                <w:szCs w:val="22"/>
              </w:rPr>
              <w:t>No. Of DTR</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Default="00784A11" w:rsidP="00351C2A">
            <w:pPr>
              <w:jc w:val="center"/>
              <w:rPr>
                <w:b/>
                <w:bCs/>
                <w:color w:val="000000"/>
                <w:sz w:val="22"/>
                <w:szCs w:val="22"/>
              </w:rPr>
            </w:pPr>
            <w:r>
              <w:rPr>
                <w:b/>
                <w:bCs/>
                <w:color w:val="000000"/>
                <w:sz w:val="22"/>
                <w:szCs w:val="22"/>
              </w:rPr>
              <w:t>No. of DTR metered</w:t>
            </w:r>
          </w:p>
        </w:tc>
        <w:tc>
          <w:tcPr>
            <w:tcW w:w="1255"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Default="00784A11" w:rsidP="00351C2A">
            <w:pPr>
              <w:jc w:val="center"/>
              <w:rPr>
                <w:b/>
                <w:bCs/>
                <w:color w:val="000000"/>
                <w:sz w:val="22"/>
                <w:szCs w:val="22"/>
              </w:rPr>
            </w:pPr>
            <w:r>
              <w:rPr>
                <w:b/>
                <w:bCs/>
                <w:color w:val="000000"/>
                <w:sz w:val="22"/>
                <w:szCs w:val="22"/>
              </w:rPr>
              <w:t>No. of Consumer</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Default="00784A11" w:rsidP="00351C2A">
            <w:pPr>
              <w:jc w:val="center"/>
              <w:rPr>
                <w:b/>
                <w:bCs/>
                <w:color w:val="000000"/>
                <w:sz w:val="22"/>
                <w:szCs w:val="22"/>
              </w:rPr>
            </w:pPr>
            <w:r>
              <w:rPr>
                <w:b/>
                <w:bCs/>
                <w:color w:val="000000"/>
                <w:sz w:val="22"/>
                <w:szCs w:val="22"/>
              </w:rPr>
              <w:t>No. of Consumer metered</w:t>
            </w:r>
          </w:p>
        </w:tc>
        <w:tc>
          <w:tcPr>
            <w:tcW w:w="3118" w:type="dxa"/>
            <w:gridSpan w:val="7"/>
            <w:tcBorders>
              <w:top w:val="single" w:sz="4" w:space="0" w:color="auto"/>
              <w:left w:val="nil"/>
              <w:bottom w:val="single" w:sz="4" w:space="0" w:color="auto"/>
              <w:right w:val="single" w:sz="4" w:space="0" w:color="auto"/>
            </w:tcBorders>
            <w:shd w:val="clear" w:color="auto" w:fill="auto"/>
            <w:vAlign w:val="center"/>
            <w:hideMark/>
          </w:tcPr>
          <w:p w:rsidR="00784A11" w:rsidRDefault="00784A11" w:rsidP="00351C2A">
            <w:pPr>
              <w:jc w:val="center"/>
              <w:rPr>
                <w:b/>
                <w:bCs/>
                <w:color w:val="000000"/>
                <w:sz w:val="22"/>
                <w:szCs w:val="22"/>
              </w:rPr>
            </w:pPr>
            <w:r>
              <w:rPr>
                <w:b/>
                <w:bCs/>
                <w:color w:val="000000"/>
                <w:sz w:val="22"/>
                <w:szCs w:val="22"/>
              </w:rPr>
              <w:t>T &amp; D LOSS</w:t>
            </w:r>
          </w:p>
        </w:tc>
      </w:tr>
      <w:tr w:rsidR="00784A11" w:rsidTr="00351C2A">
        <w:trPr>
          <w:trHeight w:val="855"/>
        </w:trPr>
        <w:tc>
          <w:tcPr>
            <w:tcW w:w="684" w:type="dxa"/>
            <w:vMerge/>
            <w:tcBorders>
              <w:top w:val="nil"/>
              <w:left w:val="single" w:sz="4" w:space="0" w:color="auto"/>
              <w:bottom w:val="single" w:sz="4" w:space="0" w:color="auto"/>
              <w:right w:val="single" w:sz="4" w:space="0" w:color="auto"/>
            </w:tcBorders>
            <w:vAlign w:val="center"/>
            <w:hideMark/>
          </w:tcPr>
          <w:p w:rsidR="00784A11" w:rsidRDefault="00784A11" w:rsidP="00351C2A">
            <w:pPr>
              <w:jc w:val="center"/>
              <w:rPr>
                <w:rFonts w:ascii="Calibri" w:hAnsi="Calibri"/>
                <w:color w:val="000000"/>
                <w:sz w:val="22"/>
                <w:szCs w:val="22"/>
              </w:rPr>
            </w:pPr>
          </w:p>
        </w:tc>
        <w:tc>
          <w:tcPr>
            <w:tcW w:w="1857" w:type="dxa"/>
            <w:vMerge/>
            <w:tcBorders>
              <w:top w:val="nil"/>
              <w:left w:val="single" w:sz="4" w:space="0" w:color="auto"/>
              <w:bottom w:val="single" w:sz="4" w:space="0" w:color="auto"/>
              <w:right w:val="single" w:sz="4" w:space="0" w:color="auto"/>
            </w:tcBorders>
            <w:vAlign w:val="center"/>
            <w:hideMark/>
          </w:tcPr>
          <w:p w:rsidR="00784A11" w:rsidRDefault="00784A11" w:rsidP="00351C2A">
            <w:pPr>
              <w:jc w:val="center"/>
              <w:rPr>
                <w:b/>
                <w:bCs/>
                <w:color w:val="000000"/>
                <w:sz w:val="22"/>
                <w:szCs w:val="22"/>
              </w:rPr>
            </w:pPr>
          </w:p>
        </w:tc>
        <w:tc>
          <w:tcPr>
            <w:tcW w:w="1002" w:type="dxa"/>
            <w:vMerge/>
            <w:tcBorders>
              <w:top w:val="nil"/>
              <w:left w:val="single" w:sz="4" w:space="0" w:color="auto"/>
              <w:bottom w:val="single" w:sz="4" w:space="0" w:color="auto"/>
              <w:right w:val="single" w:sz="4" w:space="0" w:color="auto"/>
            </w:tcBorders>
            <w:vAlign w:val="center"/>
            <w:hideMark/>
          </w:tcPr>
          <w:p w:rsidR="00784A11" w:rsidRDefault="00784A11" w:rsidP="00351C2A">
            <w:pPr>
              <w:jc w:val="center"/>
              <w:rPr>
                <w:b/>
                <w:bCs/>
                <w:color w:val="000000"/>
                <w:sz w:val="22"/>
                <w:szCs w:val="22"/>
              </w:rPr>
            </w:pPr>
          </w:p>
        </w:tc>
        <w:tc>
          <w:tcPr>
            <w:tcW w:w="1036" w:type="dxa"/>
            <w:vMerge/>
            <w:tcBorders>
              <w:top w:val="nil"/>
              <w:left w:val="single" w:sz="4" w:space="0" w:color="auto"/>
              <w:bottom w:val="single" w:sz="4" w:space="0" w:color="auto"/>
              <w:right w:val="single" w:sz="4" w:space="0" w:color="auto"/>
            </w:tcBorders>
            <w:vAlign w:val="center"/>
            <w:hideMark/>
          </w:tcPr>
          <w:p w:rsidR="00784A11" w:rsidRDefault="00784A11" w:rsidP="00351C2A">
            <w:pPr>
              <w:jc w:val="center"/>
              <w:rPr>
                <w:b/>
                <w:bCs/>
                <w:color w:val="000000"/>
                <w:sz w:val="22"/>
                <w:szCs w:val="22"/>
              </w:rPr>
            </w:pPr>
          </w:p>
        </w:tc>
        <w:tc>
          <w:tcPr>
            <w:tcW w:w="1255" w:type="dxa"/>
            <w:vMerge/>
            <w:tcBorders>
              <w:top w:val="nil"/>
              <w:left w:val="single" w:sz="4" w:space="0" w:color="auto"/>
              <w:bottom w:val="single" w:sz="4" w:space="0" w:color="auto"/>
              <w:right w:val="single" w:sz="4" w:space="0" w:color="auto"/>
            </w:tcBorders>
            <w:vAlign w:val="center"/>
            <w:hideMark/>
          </w:tcPr>
          <w:p w:rsidR="00784A11" w:rsidRDefault="00784A11" w:rsidP="00351C2A">
            <w:pPr>
              <w:jc w:val="center"/>
              <w:rPr>
                <w:b/>
                <w:bCs/>
                <w:color w:val="000000"/>
                <w:sz w:val="22"/>
                <w:szCs w:val="22"/>
              </w:rPr>
            </w:pPr>
          </w:p>
        </w:tc>
        <w:tc>
          <w:tcPr>
            <w:tcW w:w="1269" w:type="dxa"/>
            <w:vMerge/>
            <w:tcBorders>
              <w:top w:val="nil"/>
              <w:left w:val="single" w:sz="4" w:space="0" w:color="auto"/>
              <w:bottom w:val="single" w:sz="4" w:space="0" w:color="auto"/>
              <w:right w:val="single" w:sz="4" w:space="0" w:color="auto"/>
            </w:tcBorders>
            <w:vAlign w:val="center"/>
            <w:hideMark/>
          </w:tcPr>
          <w:p w:rsidR="00784A11" w:rsidRDefault="00784A11" w:rsidP="00351C2A">
            <w:pPr>
              <w:jc w:val="center"/>
              <w:rPr>
                <w:b/>
                <w:bCs/>
                <w:color w:val="000000"/>
                <w:sz w:val="22"/>
                <w:szCs w:val="22"/>
              </w:rPr>
            </w:pPr>
          </w:p>
        </w:tc>
        <w:tc>
          <w:tcPr>
            <w:tcW w:w="1134" w:type="dxa"/>
            <w:gridSpan w:val="2"/>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b/>
                <w:bCs/>
                <w:color w:val="000000"/>
                <w:sz w:val="22"/>
                <w:szCs w:val="22"/>
              </w:rPr>
            </w:pPr>
            <w:r>
              <w:rPr>
                <w:b/>
                <w:bCs/>
                <w:color w:val="000000"/>
                <w:sz w:val="22"/>
                <w:szCs w:val="22"/>
              </w:rPr>
              <w:t>As on FEB 2018</w:t>
            </w:r>
          </w:p>
        </w:tc>
        <w:tc>
          <w:tcPr>
            <w:tcW w:w="1134" w:type="dxa"/>
            <w:gridSpan w:val="3"/>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b/>
                <w:bCs/>
                <w:color w:val="000000"/>
                <w:sz w:val="22"/>
                <w:szCs w:val="22"/>
              </w:rPr>
            </w:pPr>
            <w:r>
              <w:rPr>
                <w:b/>
                <w:bCs/>
                <w:color w:val="000000"/>
                <w:sz w:val="22"/>
                <w:szCs w:val="22"/>
              </w:rPr>
              <w:t>As on FEB  2019</w:t>
            </w:r>
          </w:p>
        </w:tc>
        <w:tc>
          <w:tcPr>
            <w:tcW w:w="850" w:type="dxa"/>
            <w:gridSpan w:val="2"/>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b/>
                <w:bCs/>
                <w:color w:val="000000"/>
                <w:sz w:val="22"/>
                <w:szCs w:val="22"/>
              </w:rPr>
            </w:pPr>
            <w:r>
              <w:rPr>
                <w:b/>
                <w:bCs/>
                <w:color w:val="000000"/>
                <w:sz w:val="22"/>
                <w:szCs w:val="22"/>
              </w:rPr>
              <w:t>As on Sept.  2019</w:t>
            </w:r>
          </w:p>
        </w:tc>
      </w:tr>
      <w:tr w:rsidR="00784A11" w:rsidTr="00351C2A">
        <w:trPr>
          <w:trHeight w:val="900"/>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1</w:t>
            </w:r>
          </w:p>
        </w:tc>
        <w:tc>
          <w:tcPr>
            <w:tcW w:w="1857"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11KV NATHUABARA</w:t>
            </w:r>
          </w:p>
        </w:tc>
        <w:tc>
          <w:tcPr>
            <w:tcW w:w="1002"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sz w:val="20"/>
                <w:szCs w:val="20"/>
              </w:rPr>
            </w:pPr>
            <w:r>
              <w:rPr>
                <w:rFonts w:ascii="Calibri" w:hAnsi="Calibri"/>
                <w:sz w:val="20"/>
                <w:szCs w:val="20"/>
              </w:rPr>
              <w:t>101</w:t>
            </w:r>
          </w:p>
        </w:tc>
        <w:tc>
          <w:tcPr>
            <w:tcW w:w="1036"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101</w:t>
            </w:r>
          </w:p>
        </w:tc>
        <w:tc>
          <w:tcPr>
            <w:tcW w:w="1255"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3864</w:t>
            </w:r>
          </w:p>
        </w:tc>
        <w:tc>
          <w:tcPr>
            <w:tcW w:w="1269"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3864</w:t>
            </w:r>
          </w:p>
        </w:tc>
        <w:tc>
          <w:tcPr>
            <w:tcW w:w="1134" w:type="dxa"/>
            <w:gridSpan w:val="2"/>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21%</w:t>
            </w:r>
          </w:p>
        </w:tc>
        <w:tc>
          <w:tcPr>
            <w:tcW w:w="1134" w:type="dxa"/>
            <w:gridSpan w:val="3"/>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18%</w:t>
            </w:r>
          </w:p>
        </w:tc>
        <w:tc>
          <w:tcPr>
            <w:tcW w:w="850" w:type="dxa"/>
            <w:gridSpan w:val="2"/>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19%</w:t>
            </w:r>
          </w:p>
        </w:tc>
      </w:tr>
      <w:tr w:rsidR="00784A11" w:rsidTr="00351C2A">
        <w:trPr>
          <w:trHeight w:val="300"/>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2</w:t>
            </w:r>
          </w:p>
        </w:tc>
        <w:tc>
          <w:tcPr>
            <w:tcW w:w="1857"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11KV AGARPADA</w:t>
            </w:r>
          </w:p>
        </w:tc>
        <w:tc>
          <w:tcPr>
            <w:tcW w:w="1002"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68</w:t>
            </w:r>
          </w:p>
        </w:tc>
        <w:tc>
          <w:tcPr>
            <w:tcW w:w="1036"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68</w:t>
            </w:r>
          </w:p>
        </w:tc>
        <w:tc>
          <w:tcPr>
            <w:tcW w:w="1255"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3323</w:t>
            </w:r>
          </w:p>
        </w:tc>
        <w:tc>
          <w:tcPr>
            <w:tcW w:w="1269"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3323</w:t>
            </w:r>
          </w:p>
        </w:tc>
        <w:tc>
          <w:tcPr>
            <w:tcW w:w="1134" w:type="dxa"/>
            <w:gridSpan w:val="2"/>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24%</w:t>
            </w:r>
          </w:p>
        </w:tc>
        <w:tc>
          <w:tcPr>
            <w:tcW w:w="1134" w:type="dxa"/>
            <w:gridSpan w:val="3"/>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20%</w:t>
            </w:r>
          </w:p>
        </w:tc>
        <w:tc>
          <w:tcPr>
            <w:tcW w:w="850" w:type="dxa"/>
            <w:gridSpan w:val="2"/>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19%</w:t>
            </w:r>
          </w:p>
        </w:tc>
      </w:tr>
      <w:tr w:rsidR="00784A11" w:rsidTr="00351C2A">
        <w:trPr>
          <w:trHeight w:val="600"/>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3</w:t>
            </w:r>
          </w:p>
        </w:tc>
        <w:tc>
          <w:tcPr>
            <w:tcW w:w="1857"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11KV SERAGARH INDUSTRIAL</w:t>
            </w:r>
          </w:p>
        </w:tc>
        <w:tc>
          <w:tcPr>
            <w:tcW w:w="1002"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121</w:t>
            </w:r>
          </w:p>
        </w:tc>
        <w:tc>
          <w:tcPr>
            <w:tcW w:w="1036"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121</w:t>
            </w:r>
          </w:p>
        </w:tc>
        <w:tc>
          <w:tcPr>
            <w:tcW w:w="1255"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1948</w:t>
            </w:r>
          </w:p>
        </w:tc>
        <w:tc>
          <w:tcPr>
            <w:tcW w:w="1269"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1948</w:t>
            </w:r>
          </w:p>
        </w:tc>
        <w:tc>
          <w:tcPr>
            <w:tcW w:w="1134" w:type="dxa"/>
            <w:gridSpan w:val="2"/>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30%</w:t>
            </w:r>
          </w:p>
        </w:tc>
        <w:tc>
          <w:tcPr>
            <w:tcW w:w="1134" w:type="dxa"/>
            <w:gridSpan w:val="3"/>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22%</w:t>
            </w:r>
          </w:p>
        </w:tc>
        <w:tc>
          <w:tcPr>
            <w:tcW w:w="850" w:type="dxa"/>
            <w:gridSpan w:val="2"/>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21%</w:t>
            </w:r>
          </w:p>
        </w:tc>
      </w:tr>
      <w:tr w:rsidR="00784A11" w:rsidTr="00351C2A">
        <w:trPr>
          <w:trHeight w:val="300"/>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4</w:t>
            </w:r>
          </w:p>
        </w:tc>
        <w:tc>
          <w:tcPr>
            <w:tcW w:w="1857"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11KV NAIKUDI-II</w:t>
            </w:r>
          </w:p>
        </w:tc>
        <w:tc>
          <w:tcPr>
            <w:tcW w:w="1002"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79</w:t>
            </w:r>
          </w:p>
        </w:tc>
        <w:tc>
          <w:tcPr>
            <w:tcW w:w="1036"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77</w:t>
            </w:r>
          </w:p>
        </w:tc>
        <w:tc>
          <w:tcPr>
            <w:tcW w:w="1255"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2085</w:t>
            </w:r>
          </w:p>
        </w:tc>
        <w:tc>
          <w:tcPr>
            <w:tcW w:w="1269"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2085</w:t>
            </w:r>
          </w:p>
        </w:tc>
        <w:tc>
          <w:tcPr>
            <w:tcW w:w="1134" w:type="dxa"/>
            <w:gridSpan w:val="2"/>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35%</w:t>
            </w:r>
          </w:p>
        </w:tc>
        <w:tc>
          <w:tcPr>
            <w:tcW w:w="1134" w:type="dxa"/>
            <w:gridSpan w:val="3"/>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24%</w:t>
            </w:r>
          </w:p>
        </w:tc>
        <w:tc>
          <w:tcPr>
            <w:tcW w:w="850" w:type="dxa"/>
            <w:gridSpan w:val="2"/>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rFonts w:ascii="Calibri" w:hAnsi="Calibri"/>
                <w:color w:val="000000"/>
                <w:sz w:val="22"/>
                <w:szCs w:val="22"/>
              </w:rPr>
            </w:pPr>
            <w:r>
              <w:rPr>
                <w:rFonts w:ascii="Calibri" w:hAnsi="Calibri"/>
                <w:color w:val="000000"/>
                <w:sz w:val="22"/>
                <w:szCs w:val="22"/>
              </w:rPr>
              <w:t>25%</w:t>
            </w:r>
          </w:p>
        </w:tc>
      </w:tr>
      <w:tr w:rsidR="00784A11" w:rsidTr="00351C2A">
        <w:trPr>
          <w:trHeight w:val="375"/>
        </w:trPr>
        <w:tc>
          <w:tcPr>
            <w:tcW w:w="25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84A11" w:rsidRDefault="00784A11" w:rsidP="00351C2A">
            <w:pPr>
              <w:jc w:val="both"/>
              <w:rPr>
                <w:b/>
                <w:bCs/>
                <w:color w:val="000000"/>
                <w:sz w:val="28"/>
                <w:szCs w:val="28"/>
              </w:rPr>
            </w:pPr>
            <w:r>
              <w:rPr>
                <w:b/>
                <w:bCs/>
                <w:color w:val="000000"/>
                <w:sz w:val="28"/>
                <w:szCs w:val="28"/>
              </w:rPr>
              <w:t>Phase – II</w:t>
            </w:r>
          </w:p>
        </w:tc>
        <w:tc>
          <w:tcPr>
            <w:tcW w:w="1002"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both"/>
              <w:rPr>
                <w:rFonts w:ascii="Calibri" w:hAnsi="Calibri"/>
                <w:color w:val="000000"/>
                <w:sz w:val="22"/>
                <w:szCs w:val="22"/>
              </w:rPr>
            </w:pPr>
            <w:r>
              <w:rPr>
                <w:rFonts w:ascii="Calibri" w:hAnsi="Calibri"/>
                <w:color w:val="000000"/>
                <w:sz w:val="22"/>
                <w:szCs w:val="22"/>
              </w:rPr>
              <w:t> </w:t>
            </w:r>
          </w:p>
        </w:tc>
        <w:tc>
          <w:tcPr>
            <w:tcW w:w="1036"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both"/>
              <w:rPr>
                <w:rFonts w:ascii="Calibri" w:hAnsi="Calibri"/>
                <w:color w:val="000000"/>
                <w:sz w:val="22"/>
                <w:szCs w:val="22"/>
              </w:rPr>
            </w:pPr>
            <w:r>
              <w:rPr>
                <w:rFonts w:ascii="Calibri" w:hAnsi="Calibri"/>
                <w:color w:val="000000"/>
                <w:sz w:val="22"/>
                <w:szCs w:val="22"/>
              </w:rPr>
              <w:t> </w:t>
            </w:r>
          </w:p>
        </w:tc>
        <w:tc>
          <w:tcPr>
            <w:tcW w:w="1255"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both"/>
              <w:rPr>
                <w:rFonts w:ascii="Calibri" w:hAnsi="Calibri"/>
                <w:color w:val="000000"/>
                <w:sz w:val="22"/>
                <w:szCs w:val="22"/>
              </w:rPr>
            </w:pPr>
            <w:r>
              <w:rPr>
                <w:rFonts w:ascii="Calibri" w:hAnsi="Calibri"/>
                <w:color w:val="000000"/>
                <w:sz w:val="22"/>
                <w:szCs w:val="22"/>
              </w:rPr>
              <w:t> </w:t>
            </w:r>
          </w:p>
        </w:tc>
        <w:tc>
          <w:tcPr>
            <w:tcW w:w="1269"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both"/>
              <w:rPr>
                <w:rFonts w:ascii="Calibri" w:hAnsi="Calibri"/>
                <w:color w:val="000000"/>
                <w:sz w:val="22"/>
                <w:szCs w:val="22"/>
              </w:rPr>
            </w:pPr>
            <w:r>
              <w:rPr>
                <w:rFonts w:ascii="Calibri" w:hAnsi="Calibri"/>
                <w:color w:val="000000"/>
                <w:sz w:val="22"/>
                <w:szCs w:val="22"/>
              </w:rPr>
              <w:t> </w:t>
            </w:r>
          </w:p>
        </w:tc>
        <w:tc>
          <w:tcPr>
            <w:tcW w:w="1134" w:type="dxa"/>
            <w:gridSpan w:val="2"/>
            <w:tcBorders>
              <w:top w:val="nil"/>
              <w:left w:val="nil"/>
              <w:bottom w:val="single" w:sz="4" w:space="0" w:color="auto"/>
              <w:right w:val="single" w:sz="4" w:space="0" w:color="auto"/>
            </w:tcBorders>
            <w:shd w:val="clear" w:color="auto" w:fill="auto"/>
            <w:vAlign w:val="center"/>
            <w:hideMark/>
          </w:tcPr>
          <w:p w:rsidR="00784A11" w:rsidRDefault="00784A11" w:rsidP="00351C2A">
            <w:pPr>
              <w:jc w:val="both"/>
              <w:rPr>
                <w:rFonts w:ascii="Calibri" w:hAnsi="Calibri"/>
                <w:color w:val="000000"/>
                <w:sz w:val="22"/>
                <w:szCs w:val="22"/>
              </w:rPr>
            </w:pPr>
            <w:r>
              <w:rPr>
                <w:rFonts w:ascii="Calibri" w:hAnsi="Calibri"/>
                <w:color w:val="000000"/>
                <w:sz w:val="22"/>
                <w:szCs w:val="22"/>
              </w:rPr>
              <w:t> </w:t>
            </w:r>
          </w:p>
        </w:tc>
        <w:tc>
          <w:tcPr>
            <w:tcW w:w="1134" w:type="dxa"/>
            <w:gridSpan w:val="3"/>
            <w:tcBorders>
              <w:top w:val="nil"/>
              <w:left w:val="nil"/>
              <w:bottom w:val="single" w:sz="4" w:space="0" w:color="auto"/>
              <w:right w:val="single" w:sz="4" w:space="0" w:color="auto"/>
            </w:tcBorders>
            <w:shd w:val="clear" w:color="auto" w:fill="auto"/>
            <w:vAlign w:val="center"/>
            <w:hideMark/>
          </w:tcPr>
          <w:p w:rsidR="00784A11" w:rsidRDefault="00784A11" w:rsidP="00351C2A">
            <w:pPr>
              <w:jc w:val="both"/>
              <w:rPr>
                <w:rFonts w:ascii="Calibri" w:hAnsi="Calibri"/>
                <w:color w:val="000000"/>
                <w:sz w:val="22"/>
                <w:szCs w:val="22"/>
              </w:rPr>
            </w:pPr>
            <w:r>
              <w:rPr>
                <w:rFonts w:ascii="Calibri" w:hAnsi="Calibri"/>
                <w:color w:val="000000"/>
                <w:sz w:val="22"/>
                <w:szCs w:val="22"/>
              </w:rPr>
              <w:t> </w:t>
            </w:r>
          </w:p>
        </w:tc>
        <w:tc>
          <w:tcPr>
            <w:tcW w:w="850" w:type="dxa"/>
            <w:gridSpan w:val="2"/>
            <w:tcBorders>
              <w:top w:val="nil"/>
              <w:left w:val="nil"/>
              <w:bottom w:val="single" w:sz="4" w:space="0" w:color="auto"/>
              <w:right w:val="single" w:sz="4" w:space="0" w:color="auto"/>
            </w:tcBorders>
            <w:shd w:val="clear" w:color="auto" w:fill="auto"/>
            <w:vAlign w:val="center"/>
            <w:hideMark/>
          </w:tcPr>
          <w:p w:rsidR="00784A11" w:rsidRDefault="00784A11" w:rsidP="00351C2A">
            <w:pPr>
              <w:jc w:val="both"/>
              <w:rPr>
                <w:rFonts w:ascii="Calibri" w:hAnsi="Calibri"/>
                <w:color w:val="000000"/>
                <w:sz w:val="22"/>
                <w:szCs w:val="22"/>
              </w:rPr>
            </w:pPr>
            <w:r>
              <w:rPr>
                <w:rFonts w:ascii="Calibri" w:hAnsi="Calibri"/>
                <w:color w:val="000000"/>
                <w:sz w:val="22"/>
                <w:szCs w:val="22"/>
              </w:rPr>
              <w:t> </w:t>
            </w:r>
          </w:p>
        </w:tc>
      </w:tr>
      <w:tr w:rsidR="00784A11" w:rsidTr="00351C2A">
        <w:trPr>
          <w:trHeight w:val="300"/>
        </w:trPr>
        <w:tc>
          <w:tcPr>
            <w:tcW w:w="684"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Default="00784A11" w:rsidP="00351C2A">
            <w:pPr>
              <w:jc w:val="both"/>
              <w:rPr>
                <w:rFonts w:ascii="Calibri" w:hAnsi="Calibri"/>
                <w:color w:val="000000"/>
                <w:sz w:val="22"/>
                <w:szCs w:val="22"/>
              </w:rPr>
            </w:pPr>
            <w:r>
              <w:rPr>
                <w:rFonts w:ascii="Calibri" w:hAnsi="Calibri"/>
                <w:color w:val="000000"/>
                <w:sz w:val="22"/>
                <w:szCs w:val="22"/>
              </w:rPr>
              <w:t>SL NO</w:t>
            </w:r>
          </w:p>
        </w:tc>
        <w:tc>
          <w:tcPr>
            <w:tcW w:w="1857"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Default="00784A11" w:rsidP="00351C2A">
            <w:pPr>
              <w:jc w:val="center"/>
              <w:rPr>
                <w:b/>
                <w:bCs/>
                <w:color w:val="000000"/>
                <w:sz w:val="22"/>
                <w:szCs w:val="22"/>
              </w:rPr>
            </w:pPr>
            <w:r>
              <w:rPr>
                <w:b/>
                <w:bCs/>
                <w:color w:val="000000"/>
                <w:sz w:val="22"/>
                <w:szCs w:val="22"/>
              </w:rPr>
              <w:t>Name Of The Feeder</w:t>
            </w:r>
          </w:p>
        </w:tc>
        <w:tc>
          <w:tcPr>
            <w:tcW w:w="1002"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Default="00784A11" w:rsidP="00351C2A">
            <w:pPr>
              <w:jc w:val="center"/>
              <w:rPr>
                <w:b/>
                <w:bCs/>
                <w:color w:val="000000"/>
                <w:sz w:val="22"/>
                <w:szCs w:val="22"/>
              </w:rPr>
            </w:pPr>
            <w:r>
              <w:rPr>
                <w:b/>
                <w:bCs/>
                <w:color w:val="000000"/>
                <w:sz w:val="22"/>
                <w:szCs w:val="22"/>
              </w:rPr>
              <w:t>No. Of DTR</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Default="00784A11" w:rsidP="00351C2A">
            <w:pPr>
              <w:jc w:val="center"/>
              <w:rPr>
                <w:b/>
                <w:bCs/>
                <w:color w:val="000000"/>
                <w:sz w:val="22"/>
                <w:szCs w:val="22"/>
              </w:rPr>
            </w:pPr>
            <w:r>
              <w:rPr>
                <w:b/>
                <w:bCs/>
                <w:color w:val="000000"/>
                <w:sz w:val="22"/>
                <w:szCs w:val="22"/>
              </w:rPr>
              <w:t>No. of DTR metered</w:t>
            </w:r>
          </w:p>
        </w:tc>
        <w:tc>
          <w:tcPr>
            <w:tcW w:w="1255"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Default="00784A11" w:rsidP="00351C2A">
            <w:pPr>
              <w:jc w:val="center"/>
              <w:rPr>
                <w:b/>
                <w:bCs/>
                <w:color w:val="000000"/>
                <w:sz w:val="22"/>
                <w:szCs w:val="22"/>
              </w:rPr>
            </w:pPr>
            <w:r>
              <w:rPr>
                <w:b/>
                <w:bCs/>
                <w:color w:val="000000"/>
                <w:sz w:val="22"/>
                <w:szCs w:val="22"/>
              </w:rPr>
              <w:t>No. of Consumer</w:t>
            </w:r>
          </w:p>
        </w:tc>
        <w:tc>
          <w:tcPr>
            <w:tcW w:w="1269"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Default="00784A11" w:rsidP="00351C2A">
            <w:pPr>
              <w:jc w:val="center"/>
              <w:rPr>
                <w:b/>
                <w:bCs/>
                <w:color w:val="000000"/>
                <w:sz w:val="22"/>
                <w:szCs w:val="22"/>
              </w:rPr>
            </w:pPr>
            <w:r>
              <w:rPr>
                <w:b/>
                <w:bCs/>
                <w:color w:val="000000"/>
                <w:sz w:val="22"/>
                <w:szCs w:val="22"/>
              </w:rPr>
              <w:t>No. of Consumer metered</w:t>
            </w:r>
          </w:p>
        </w:tc>
        <w:tc>
          <w:tcPr>
            <w:tcW w:w="3118" w:type="dxa"/>
            <w:gridSpan w:val="7"/>
            <w:tcBorders>
              <w:top w:val="single" w:sz="4" w:space="0" w:color="auto"/>
              <w:left w:val="nil"/>
              <w:bottom w:val="single" w:sz="4" w:space="0" w:color="auto"/>
              <w:right w:val="single" w:sz="4" w:space="0" w:color="auto"/>
            </w:tcBorders>
            <w:shd w:val="clear" w:color="auto" w:fill="auto"/>
            <w:vAlign w:val="center"/>
            <w:hideMark/>
          </w:tcPr>
          <w:p w:rsidR="00784A11" w:rsidRDefault="00784A11" w:rsidP="00351C2A">
            <w:pPr>
              <w:jc w:val="center"/>
              <w:rPr>
                <w:b/>
                <w:bCs/>
                <w:color w:val="000000"/>
                <w:sz w:val="22"/>
                <w:szCs w:val="22"/>
              </w:rPr>
            </w:pPr>
            <w:r>
              <w:rPr>
                <w:b/>
                <w:bCs/>
                <w:color w:val="000000"/>
                <w:sz w:val="22"/>
                <w:szCs w:val="22"/>
              </w:rPr>
              <w:t>T &amp; D LOSS</w:t>
            </w:r>
          </w:p>
        </w:tc>
      </w:tr>
      <w:tr w:rsidR="00784A11" w:rsidTr="00351C2A">
        <w:trPr>
          <w:trHeight w:val="855"/>
        </w:trPr>
        <w:tc>
          <w:tcPr>
            <w:tcW w:w="684" w:type="dxa"/>
            <w:vMerge/>
            <w:tcBorders>
              <w:top w:val="nil"/>
              <w:left w:val="single" w:sz="4" w:space="0" w:color="auto"/>
              <w:bottom w:val="single" w:sz="4" w:space="0" w:color="auto"/>
              <w:right w:val="single" w:sz="4" w:space="0" w:color="auto"/>
            </w:tcBorders>
            <w:vAlign w:val="center"/>
            <w:hideMark/>
          </w:tcPr>
          <w:p w:rsidR="00784A11" w:rsidRDefault="00784A11" w:rsidP="00351C2A">
            <w:pPr>
              <w:jc w:val="both"/>
              <w:rPr>
                <w:rFonts w:ascii="Calibri" w:hAnsi="Calibri"/>
                <w:color w:val="000000"/>
                <w:sz w:val="22"/>
                <w:szCs w:val="22"/>
              </w:rPr>
            </w:pPr>
          </w:p>
        </w:tc>
        <w:tc>
          <w:tcPr>
            <w:tcW w:w="1857" w:type="dxa"/>
            <w:vMerge/>
            <w:tcBorders>
              <w:top w:val="nil"/>
              <w:left w:val="single" w:sz="4" w:space="0" w:color="auto"/>
              <w:bottom w:val="single" w:sz="4" w:space="0" w:color="auto"/>
              <w:right w:val="single" w:sz="4" w:space="0" w:color="auto"/>
            </w:tcBorders>
            <w:vAlign w:val="center"/>
            <w:hideMark/>
          </w:tcPr>
          <w:p w:rsidR="00784A11" w:rsidRDefault="00784A11" w:rsidP="00351C2A">
            <w:pPr>
              <w:jc w:val="both"/>
              <w:rPr>
                <w:b/>
                <w:bCs/>
                <w:color w:val="000000"/>
                <w:sz w:val="22"/>
                <w:szCs w:val="22"/>
              </w:rPr>
            </w:pPr>
          </w:p>
        </w:tc>
        <w:tc>
          <w:tcPr>
            <w:tcW w:w="1002" w:type="dxa"/>
            <w:vMerge/>
            <w:tcBorders>
              <w:top w:val="nil"/>
              <w:left w:val="single" w:sz="4" w:space="0" w:color="auto"/>
              <w:bottom w:val="single" w:sz="4" w:space="0" w:color="auto"/>
              <w:right w:val="single" w:sz="4" w:space="0" w:color="auto"/>
            </w:tcBorders>
            <w:vAlign w:val="center"/>
            <w:hideMark/>
          </w:tcPr>
          <w:p w:rsidR="00784A11" w:rsidRDefault="00784A11" w:rsidP="00351C2A">
            <w:pPr>
              <w:jc w:val="center"/>
              <w:rPr>
                <w:b/>
                <w:bCs/>
                <w:color w:val="000000"/>
                <w:sz w:val="22"/>
                <w:szCs w:val="22"/>
              </w:rPr>
            </w:pPr>
          </w:p>
        </w:tc>
        <w:tc>
          <w:tcPr>
            <w:tcW w:w="1036" w:type="dxa"/>
            <w:vMerge/>
            <w:tcBorders>
              <w:top w:val="nil"/>
              <w:left w:val="single" w:sz="4" w:space="0" w:color="auto"/>
              <w:bottom w:val="single" w:sz="4" w:space="0" w:color="auto"/>
              <w:right w:val="single" w:sz="4" w:space="0" w:color="auto"/>
            </w:tcBorders>
            <w:vAlign w:val="center"/>
            <w:hideMark/>
          </w:tcPr>
          <w:p w:rsidR="00784A11" w:rsidRDefault="00784A11" w:rsidP="00351C2A">
            <w:pPr>
              <w:jc w:val="center"/>
              <w:rPr>
                <w:b/>
                <w:bCs/>
                <w:color w:val="000000"/>
                <w:sz w:val="22"/>
                <w:szCs w:val="22"/>
              </w:rPr>
            </w:pPr>
          </w:p>
        </w:tc>
        <w:tc>
          <w:tcPr>
            <w:tcW w:w="1255" w:type="dxa"/>
            <w:vMerge/>
            <w:tcBorders>
              <w:top w:val="nil"/>
              <w:left w:val="single" w:sz="4" w:space="0" w:color="auto"/>
              <w:bottom w:val="single" w:sz="4" w:space="0" w:color="auto"/>
              <w:right w:val="single" w:sz="4" w:space="0" w:color="auto"/>
            </w:tcBorders>
            <w:vAlign w:val="center"/>
            <w:hideMark/>
          </w:tcPr>
          <w:p w:rsidR="00784A11" w:rsidRDefault="00784A11" w:rsidP="00351C2A">
            <w:pPr>
              <w:jc w:val="center"/>
              <w:rPr>
                <w:b/>
                <w:bCs/>
                <w:color w:val="000000"/>
                <w:sz w:val="22"/>
                <w:szCs w:val="22"/>
              </w:rPr>
            </w:pPr>
          </w:p>
        </w:tc>
        <w:tc>
          <w:tcPr>
            <w:tcW w:w="1269" w:type="dxa"/>
            <w:vMerge/>
            <w:tcBorders>
              <w:top w:val="nil"/>
              <w:left w:val="single" w:sz="4" w:space="0" w:color="auto"/>
              <w:bottom w:val="single" w:sz="4" w:space="0" w:color="auto"/>
              <w:right w:val="single" w:sz="4" w:space="0" w:color="auto"/>
            </w:tcBorders>
            <w:vAlign w:val="center"/>
            <w:hideMark/>
          </w:tcPr>
          <w:p w:rsidR="00784A11" w:rsidRDefault="00784A11" w:rsidP="00351C2A">
            <w:pPr>
              <w:jc w:val="center"/>
              <w:rPr>
                <w:b/>
                <w:bCs/>
                <w:color w:val="000000"/>
                <w:sz w:val="22"/>
                <w:szCs w:val="22"/>
              </w:rPr>
            </w:pPr>
          </w:p>
        </w:tc>
        <w:tc>
          <w:tcPr>
            <w:tcW w:w="992"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b/>
                <w:bCs/>
                <w:color w:val="000000"/>
                <w:sz w:val="22"/>
                <w:szCs w:val="22"/>
              </w:rPr>
            </w:pPr>
            <w:r>
              <w:rPr>
                <w:b/>
                <w:bCs/>
                <w:color w:val="000000"/>
                <w:sz w:val="22"/>
                <w:szCs w:val="22"/>
              </w:rPr>
              <w:t>As on JUNE 2018</w:t>
            </w:r>
          </w:p>
        </w:tc>
        <w:tc>
          <w:tcPr>
            <w:tcW w:w="1134" w:type="dxa"/>
            <w:gridSpan w:val="3"/>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b/>
                <w:bCs/>
                <w:color w:val="000000"/>
                <w:sz w:val="22"/>
                <w:szCs w:val="22"/>
              </w:rPr>
            </w:pPr>
            <w:r>
              <w:rPr>
                <w:b/>
                <w:bCs/>
                <w:color w:val="000000"/>
                <w:sz w:val="22"/>
                <w:szCs w:val="22"/>
              </w:rPr>
              <w:t>As on JUNE  2019</w:t>
            </w:r>
          </w:p>
        </w:tc>
        <w:tc>
          <w:tcPr>
            <w:tcW w:w="992" w:type="dxa"/>
            <w:gridSpan w:val="3"/>
            <w:tcBorders>
              <w:top w:val="nil"/>
              <w:left w:val="nil"/>
              <w:bottom w:val="single" w:sz="4" w:space="0" w:color="auto"/>
              <w:right w:val="single" w:sz="4" w:space="0" w:color="auto"/>
            </w:tcBorders>
            <w:shd w:val="clear" w:color="auto" w:fill="auto"/>
            <w:vAlign w:val="center"/>
            <w:hideMark/>
          </w:tcPr>
          <w:p w:rsidR="00784A11" w:rsidRDefault="00784A11" w:rsidP="00351C2A">
            <w:pPr>
              <w:jc w:val="center"/>
              <w:rPr>
                <w:b/>
                <w:bCs/>
                <w:color w:val="000000"/>
                <w:sz w:val="22"/>
                <w:szCs w:val="22"/>
              </w:rPr>
            </w:pPr>
            <w:r>
              <w:rPr>
                <w:b/>
                <w:bCs/>
                <w:color w:val="000000"/>
                <w:sz w:val="22"/>
                <w:szCs w:val="22"/>
              </w:rPr>
              <w:t>As on Sept.  2019</w:t>
            </w:r>
          </w:p>
        </w:tc>
      </w:tr>
      <w:tr w:rsidR="00784A11" w:rsidTr="00351C2A">
        <w:trPr>
          <w:trHeight w:val="34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784A11" w:rsidRDefault="00784A11" w:rsidP="00351C2A">
            <w:pPr>
              <w:jc w:val="both"/>
              <w:rPr>
                <w:rFonts w:ascii="Calibri" w:hAnsi="Calibri"/>
                <w:color w:val="000000"/>
                <w:sz w:val="22"/>
                <w:szCs w:val="22"/>
              </w:rPr>
            </w:pPr>
            <w:r>
              <w:rPr>
                <w:rFonts w:ascii="Calibri" w:hAnsi="Calibri"/>
                <w:color w:val="000000"/>
                <w:sz w:val="22"/>
                <w:szCs w:val="22"/>
              </w:rPr>
              <w:t>1</w:t>
            </w:r>
          </w:p>
        </w:tc>
        <w:tc>
          <w:tcPr>
            <w:tcW w:w="1857"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both"/>
              <w:rPr>
                <w:rFonts w:ascii="Arial Narrow" w:hAnsi="Arial Narrow"/>
                <w:b/>
                <w:bCs/>
                <w:sz w:val="26"/>
                <w:szCs w:val="26"/>
              </w:rPr>
            </w:pPr>
            <w:r>
              <w:rPr>
                <w:rFonts w:ascii="Arial Narrow" w:hAnsi="Arial Narrow"/>
                <w:b/>
                <w:bCs/>
                <w:sz w:val="26"/>
                <w:szCs w:val="26"/>
              </w:rPr>
              <w:t>NO-I, Balasore</w:t>
            </w:r>
          </w:p>
        </w:tc>
        <w:tc>
          <w:tcPr>
            <w:tcW w:w="1002" w:type="dxa"/>
            <w:tcBorders>
              <w:top w:val="nil"/>
              <w:left w:val="nil"/>
              <w:bottom w:val="single" w:sz="4" w:space="0" w:color="auto"/>
              <w:right w:val="single" w:sz="4" w:space="0" w:color="auto"/>
            </w:tcBorders>
            <w:shd w:val="clear" w:color="auto" w:fill="auto"/>
            <w:noWrap/>
            <w:vAlign w:val="bottom"/>
            <w:hideMark/>
          </w:tcPr>
          <w:p w:rsidR="00784A11" w:rsidRPr="00E1665D" w:rsidRDefault="00784A11" w:rsidP="00351C2A">
            <w:pPr>
              <w:jc w:val="both"/>
              <w:rPr>
                <w:rFonts w:ascii="Calibri" w:hAnsi="Calibri"/>
                <w:color w:val="000000" w:themeColor="text1"/>
                <w:sz w:val="22"/>
                <w:szCs w:val="22"/>
              </w:rPr>
            </w:pPr>
            <w:r w:rsidRPr="00E1665D">
              <w:rPr>
                <w:rFonts w:ascii="Calibri" w:hAnsi="Calibri"/>
                <w:color w:val="000000" w:themeColor="text1"/>
                <w:sz w:val="22"/>
                <w:szCs w:val="22"/>
              </w:rPr>
              <w:t>196</w:t>
            </w:r>
          </w:p>
        </w:tc>
        <w:tc>
          <w:tcPr>
            <w:tcW w:w="1036" w:type="dxa"/>
            <w:tcBorders>
              <w:top w:val="nil"/>
              <w:left w:val="nil"/>
              <w:bottom w:val="single" w:sz="4" w:space="0" w:color="auto"/>
              <w:right w:val="single" w:sz="4" w:space="0" w:color="auto"/>
            </w:tcBorders>
            <w:shd w:val="clear" w:color="auto" w:fill="auto"/>
            <w:noWrap/>
            <w:vAlign w:val="bottom"/>
            <w:hideMark/>
          </w:tcPr>
          <w:p w:rsidR="00784A11" w:rsidRPr="003C3E12" w:rsidRDefault="00784A11" w:rsidP="00351C2A">
            <w:pPr>
              <w:jc w:val="both"/>
              <w:rPr>
                <w:rFonts w:ascii="Calibri" w:hAnsi="Calibri"/>
                <w:color w:val="000000" w:themeColor="text1"/>
                <w:sz w:val="22"/>
                <w:szCs w:val="22"/>
              </w:rPr>
            </w:pPr>
            <w:r w:rsidRPr="003C3E12">
              <w:rPr>
                <w:rFonts w:ascii="Calibri" w:hAnsi="Calibri"/>
                <w:color w:val="000000" w:themeColor="text1"/>
                <w:sz w:val="22"/>
                <w:szCs w:val="22"/>
              </w:rPr>
              <w:t>82</w:t>
            </w:r>
          </w:p>
        </w:tc>
        <w:tc>
          <w:tcPr>
            <w:tcW w:w="1255" w:type="dxa"/>
            <w:tcBorders>
              <w:top w:val="nil"/>
              <w:left w:val="nil"/>
              <w:bottom w:val="single" w:sz="4" w:space="0" w:color="auto"/>
              <w:right w:val="single" w:sz="4" w:space="0" w:color="auto"/>
            </w:tcBorders>
            <w:shd w:val="clear" w:color="auto" w:fill="auto"/>
            <w:noWrap/>
            <w:vAlign w:val="bottom"/>
            <w:hideMark/>
          </w:tcPr>
          <w:p w:rsidR="00784A11" w:rsidRDefault="00784A11" w:rsidP="00351C2A">
            <w:pPr>
              <w:jc w:val="center"/>
              <w:rPr>
                <w:rFonts w:ascii="Calibri" w:hAnsi="Calibri" w:cs="Calibri"/>
                <w:sz w:val="22"/>
                <w:szCs w:val="22"/>
              </w:rPr>
            </w:pPr>
            <w:r>
              <w:rPr>
                <w:rFonts w:ascii="Calibri" w:hAnsi="Calibri" w:cs="Calibri"/>
                <w:sz w:val="22"/>
                <w:szCs w:val="22"/>
              </w:rPr>
              <w:t>5603</w:t>
            </w:r>
          </w:p>
        </w:tc>
        <w:tc>
          <w:tcPr>
            <w:tcW w:w="1269" w:type="dxa"/>
            <w:tcBorders>
              <w:top w:val="nil"/>
              <w:left w:val="nil"/>
              <w:bottom w:val="single" w:sz="4" w:space="0" w:color="auto"/>
              <w:right w:val="single" w:sz="4" w:space="0" w:color="auto"/>
            </w:tcBorders>
            <w:shd w:val="clear" w:color="auto" w:fill="auto"/>
            <w:noWrap/>
            <w:vAlign w:val="bottom"/>
            <w:hideMark/>
          </w:tcPr>
          <w:p w:rsidR="00784A11" w:rsidRDefault="00784A11" w:rsidP="00351C2A">
            <w:pPr>
              <w:jc w:val="center"/>
              <w:rPr>
                <w:rFonts w:ascii="Calibri" w:hAnsi="Calibri" w:cs="Calibri"/>
                <w:sz w:val="22"/>
                <w:szCs w:val="22"/>
              </w:rPr>
            </w:pPr>
            <w:r>
              <w:rPr>
                <w:rFonts w:ascii="Calibri" w:hAnsi="Calibri" w:cs="Calibri"/>
                <w:sz w:val="22"/>
                <w:szCs w:val="22"/>
              </w:rPr>
              <w:t>5228</w:t>
            </w:r>
          </w:p>
        </w:tc>
        <w:tc>
          <w:tcPr>
            <w:tcW w:w="992" w:type="dxa"/>
            <w:tcBorders>
              <w:top w:val="nil"/>
              <w:left w:val="nil"/>
              <w:bottom w:val="single" w:sz="4" w:space="0" w:color="auto"/>
              <w:right w:val="single" w:sz="4" w:space="0" w:color="auto"/>
            </w:tcBorders>
            <w:shd w:val="clear" w:color="auto" w:fill="auto"/>
            <w:noWrap/>
            <w:vAlign w:val="bottom"/>
            <w:hideMark/>
          </w:tcPr>
          <w:p w:rsidR="00784A11" w:rsidRPr="0017499E" w:rsidRDefault="00784A11" w:rsidP="00351C2A">
            <w:pPr>
              <w:jc w:val="both"/>
              <w:rPr>
                <w:rFonts w:ascii="Calibri" w:hAnsi="Calibri"/>
                <w:color w:val="000000" w:themeColor="text1"/>
                <w:sz w:val="22"/>
                <w:szCs w:val="22"/>
              </w:rPr>
            </w:pPr>
            <w:r w:rsidRPr="0017499E">
              <w:rPr>
                <w:rFonts w:ascii="Calibri" w:hAnsi="Calibri"/>
                <w:color w:val="000000" w:themeColor="text1"/>
                <w:sz w:val="22"/>
                <w:szCs w:val="22"/>
              </w:rPr>
              <w:t>18%</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84A11" w:rsidRPr="009A02BD" w:rsidRDefault="00784A11" w:rsidP="00351C2A">
            <w:pPr>
              <w:jc w:val="both"/>
              <w:rPr>
                <w:rFonts w:ascii="Calibri" w:hAnsi="Calibri"/>
                <w:color w:val="000000" w:themeColor="text1"/>
                <w:sz w:val="22"/>
                <w:szCs w:val="22"/>
              </w:rPr>
            </w:pPr>
            <w:r w:rsidRPr="009A02BD">
              <w:rPr>
                <w:rFonts w:ascii="Calibri" w:hAnsi="Calibri"/>
                <w:color w:val="000000" w:themeColor="text1"/>
                <w:sz w:val="22"/>
                <w:szCs w:val="22"/>
              </w:rPr>
              <w:t>12%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784A11" w:rsidRPr="00695CF0" w:rsidRDefault="00784A11" w:rsidP="00351C2A">
            <w:pPr>
              <w:jc w:val="both"/>
              <w:rPr>
                <w:rFonts w:ascii="Calibri" w:hAnsi="Calibri"/>
                <w:color w:val="000000" w:themeColor="text1"/>
                <w:sz w:val="22"/>
                <w:szCs w:val="22"/>
              </w:rPr>
            </w:pPr>
            <w:r w:rsidRPr="00695CF0">
              <w:rPr>
                <w:rFonts w:ascii="Calibri" w:hAnsi="Calibri"/>
                <w:color w:val="000000" w:themeColor="text1"/>
                <w:sz w:val="22"/>
                <w:szCs w:val="22"/>
              </w:rPr>
              <w:t>11%</w:t>
            </w:r>
          </w:p>
        </w:tc>
      </w:tr>
      <w:tr w:rsidR="00784A11" w:rsidTr="00351C2A">
        <w:trPr>
          <w:trHeight w:val="34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784A11" w:rsidRDefault="00784A11" w:rsidP="00351C2A">
            <w:pPr>
              <w:jc w:val="both"/>
              <w:rPr>
                <w:rFonts w:ascii="Calibri" w:hAnsi="Calibri"/>
                <w:color w:val="000000"/>
                <w:sz w:val="22"/>
                <w:szCs w:val="22"/>
              </w:rPr>
            </w:pPr>
            <w:r>
              <w:rPr>
                <w:rFonts w:ascii="Calibri" w:hAnsi="Calibri"/>
                <w:color w:val="000000"/>
                <w:sz w:val="22"/>
                <w:szCs w:val="22"/>
              </w:rPr>
              <w:t>2</w:t>
            </w:r>
          </w:p>
        </w:tc>
        <w:tc>
          <w:tcPr>
            <w:tcW w:w="1857"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both"/>
              <w:rPr>
                <w:rFonts w:ascii="Arial Narrow" w:hAnsi="Arial Narrow"/>
                <w:b/>
                <w:bCs/>
                <w:sz w:val="26"/>
                <w:szCs w:val="26"/>
              </w:rPr>
            </w:pPr>
            <w:r>
              <w:rPr>
                <w:rFonts w:ascii="Arial Narrow" w:hAnsi="Arial Narrow"/>
                <w:b/>
                <w:bCs/>
                <w:sz w:val="26"/>
                <w:szCs w:val="26"/>
              </w:rPr>
              <w:t>Sahadevkhunta</w:t>
            </w:r>
          </w:p>
        </w:tc>
        <w:tc>
          <w:tcPr>
            <w:tcW w:w="1002" w:type="dxa"/>
            <w:tcBorders>
              <w:top w:val="nil"/>
              <w:left w:val="nil"/>
              <w:bottom w:val="single" w:sz="4" w:space="0" w:color="auto"/>
              <w:right w:val="single" w:sz="4" w:space="0" w:color="auto"/>
            </w:tcBorders>
            <w:shd w:val="clear" w:color="auto" w:fill="auto"/>
            <w:noWrap/>
            <w:vAlign w:val="bottom"/>
            <w:hideMark/>
          </w:tcPr>
          <w:p w:rsidR="00784A11" w:rsidRPr="00E1665D" w:rsidRDefault="00784A11" w:rsidP="00351C2A">
            <w:pPr>
              <w:jc w:val="both"/>
              <w:rPr>
                <w:rFonts w:ascii="Calibri" w:hAnsi="Calibri"/>
                <w:color w:val="000000" w:themeColor="text1"/>
                <w:sz w:val="22"/>
                <w:szCs w:val="22"/>
              </w:rPr>
            </w:pPr>
            <w:r w:rsidRPr="00E1665D">
              <w:rPr>
                <w:rFonts w:ascii="Calibri" w:hAnsi="Calibri"/>
                <w:color w:val="000000" w:themeColor="text1"/>
                <w:sz w:val="22"/>
                <w:szCs w:val="22"/>
              </w:rPr>
              <w:t>84</w:t>
            </w:r>
          </w:p>
        </w:tc>
        <w:tc>
          <w:tcPr>
            <w:tcW w:w="1036" w:type="dxa"/>
            <w:tcBorders>
              <w:top w:val="nil"/>
              <w:left w:val="nil"/>
              <w:bottom w:val="single" w:sz="4" w:space="0" w:color="auto"/>
              <w:right w:val="single" w:sz="4" w:space="0" w:color="auto"/>
            </w:tcBorders>
            <w:shd w:val="clear" w:color="auto" w:fill="auto"/>
            <w:noWrap/>
            <w:vAlign w:val="bottom"/>
            <w:hideMark/>
          </w:tcPr>
          <w:p w:rsidR="00784A11" w:rsidRPr="003C3E12" w:rsidRDefault="00784A11" w:rsidP="00351C2A">
            <w:pPr>
              <w:jc w:val="both"/>
              <w:rPr>
                <w:rFonts w:ascii="Calibri" w:hAnsi="Calibri"/>
                <w:color w:val="000000" w:themeColor="text1"/>
                <w:sz w:val="22"/>
                <w:szCs w:val="22"/>
              </w:rPr>
            </w:pPr>
            <w:r w:rsidRPr="003C3E12">
              <w:rPr>
                <w:rFonts w:ascii="Calibri" w:hAnsi="Calibri"/>
                <w:color w:val="000000" w:themeColor="text1"/>
                <w:sz w:val="22"/>
                <w:szCs w:val="22"/>
              </w:rPr>
              <w:t>28</w:t>
            </w:r>
          </w:p>
        </w:tc>
        <w:tc>
          <w:tcPr>
            <w:tcW w:w="1255" w:type="dxa"/>
            <w:tcBorders>
              <w:top w:val="nil"/>
              <w:left w:val="nil"/>
              <w:bottom w:val="single" w:sz="4" w:space="0" w:color="auto"/>
              <w:right w:val="single" w:sz="4" w:space="0" w:color="auto"/>
            </w:tcBorders>
            <w:shd w:val="clear" w:color="auto" w:fill="auto"/>
            <w:noWrap/>
            <w:vAlign w:val="bottom"/>
            <w:hideMark/>
          </w:tcPr>
          <w:p w:rsidR="00784A11" w:rsidRDefault="00784A11" w:rsidP="00351C2A">
            <w:pPr>
              <w:jc w:val="center"/>
              <w:rPr>
                <w:rFonts w:ascii="Calibri" w:hAnsi="Calibri" w:cs="Calibri"/>
                <w:sz w:val="22"/>
                <w:szCs w:val="22"/>
              </w:rPr>
            </w:pPr>
            <w:r>
              <w:rPr>
                <w:rFonts w:ascii="Calibri" w:hAnsi="Calibri" w:cs="Calibri"/>
                <w:sz w:val="22"/>
                <w:szCs w:val="22"/>
              </w:rPr>
              <w:t>5772</w:t>
            </w:r>
          </w:p>
        </w:tc>
        <w:tc>
          <w:tcPr>
            <w:tcW w:w="1269" w:type="dxa"/>
            <w:tcBorders>
              <w:top w:val="nil"/>
              <w:left w:val="nil"/>
              <w:bottom w:val="single" w:sz="4" w:space="0" w:color="auto"/>
              <w:right w:val="single" w:sz="4" w:space="0" w:color="auto"/>
            </w:tcBorders>
            <w:shd w:val="clear" w:color="auto" w:fill="auto"/>
            <w:noWrap/>
            <w:vAlign w:val="bottom"/>
            <w:hideMark/>
          </w:tcPr>
          <w:p w:rsidR="00784A11" w:rsidRDefault="00784A11" w:rsidP="00351C2A">
            <w:pPr>
              <w:jc w:val="center"/>
              <w:rPr>
                <w:rFonts w:ascii="Calibri" w:hAnsi="Calibri" w:cs="Calibri"/>
                <w:sz w:val="22"/>
                <w:szCs w:val="22"/>
              </w:rPr>
            </w:pPr>
            <w:r>
              <w:rPr>
                <w:rFonts w:ascii="Calibri" w:hAnsi="Calibri" w:cs="Calibri"/>
                <w:sz w:val="22"/>
                <w:szCs w:val="22"/>
              </w:rPr>
              <w:t>5583</w:t>
            </w:r>
          </w:p>
        </w:tc>
        <w:tc>
          <w:tcPr>
            <w:tcW w:w="992" w:type="dxa"/>
            <w:tcBorders>
              <w:top w:val="nil"/>
              <w:left w:val="nil"/>
              <w:bottom w:val="single" w:sz="4" w:space="0" w:color="auto"/>
              <w:right w:val="single" w:sz="4" w:space="0" w:color="auto"/>
            </w:tcBorders>
            <w:shd w:val="clear" w:color="auto" w:fill="auto"/>
            <w:noWrap/>
            <w:vAlign w:val="bottom"/>
            <w:hideMark/>
          </w:tcPr>
          <w:p w:rsidR="00784A11" w:rsidRPr="0017499E" w:rsidRDefault="00784A11" w:rsidP="00351C2A">
            <w:pPr>
              <w:jc w:val="both"/>
              <w:rPr>
                <w:rFonts w:ascii="Calibri" w:hAnsi="Calibri"/>
                <w:color w:val="000000" w:themeColor="text1"/>
                <w:sz w:val="22"/>
                <w:szCs w:val="22"/>
              </w:rPr>
            </w:pPr>
            <w:r w:rsidRPr="0017499E">
              <w:rPr>
                <w:rFonts w:ascii="Calibri" w:hAnsi="Calibri"/>
                <w:color w:val="000000" w:themeColor="text1"/>
                <w:sz w:val="22"/>
                <w:szCs w:val="22"/>
              </w:rPr>
              <w:t>14%</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84A11" w:rsidRPr="009A02BD" w:rsidRDefault="00784A11" w:rsidP="00351C2A">
            <w:pPr>
              <w:jc w:val="both"/>
              <w:rPr>
                <w:rFonts w:ascii="Calibri" w:hAnsi="Calibri"/>
                <w:color w:val="000000" w:themeColor="text1"/>
                <w:sz w:val="22"/>
                <w:szCs w:val="22"/>
              </w:rPr>
            </w:pPr>
            <w:r w:rsidRPr="009A02BD">
              <w:rPr>
                <w:rFonts w:ascii="Calibri" w:hAnsi="Calibri"/>
                <w:color w:val="000000" w:themeColor="text1"/>
                <w:sz w:val="22"/>
                <w:szCs w:val="22"/>
              </w:rPr>
              <w:t>13%</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784A11" w:rsidRPr="00695CF0" w:rsidRDefault="00784A11" w:rsidP="00351C2A">
            <w:pPr>
              <w:jc w:val="both"/>
              <w:rPr>
                <w:rFonts w:ascii="Calibri" w:hAnsi="Calibri"/>
                <w:color w:val="000000" w:themeColor="text1"/>
                <w:sz w:val="22"/>
                <w:szCs w:val="22"/>
              </w:rPr>
            </w:pPr>
            <w:r w:rsidRPr="00695CF0">
              <w:rPr>
                <w:rFonts w:ascii="Calibri" w:hAnsi="Calibri"/>
                <w:color w:val="000000" w:themeColor="text1"/>
                <w:sz w:val="22"/>
                <w:szCs w:val="22"/>
              </w:rPr>
              <w:t>12%</w:t>
            </w:r>
          </w:p>
        </w:tc>
      </w:tr>
      <w:tr w:rsidR="00784A11" w:rsidTr="00351C2A">
        <w:trPr>
          <w:trHeight w:val="34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784A11" w:rsidRDefault="00784A11" w:rsidP="00351C2A">
            <w:pPr>
              <w:jc w:val="both"/>
              <w:rPr>
                <w:rFonts w:ascii="Calibri" w:hAnsi="Calibri"/>
                <w:color w:val="000000"/>
                <w:sz w:val="22"/>
                <w:szCs w:val="22"/>
              </w:rPr>
            </w:pPr>
            <w:r>
              <w:rPr>
                <w:rFonts w:ascii="Calibri" w:hAnsi="Calibri"/>
                <w:color w:val="000000"/>
                <w:sz w:val="22"/>
                <w:szCs w:val="22"/>
              </w:rPr>
              <w:t>3</w:t>
            </w:r>
          </w:p>
        </w:tc>
        <w:tc>
          <w:tcPr>
            <w:tcW w:w="1857"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both"/>
              <w:rPr>
                <w:rFonts w:ascii="Arial Narrow" w:hAnsi="Arial Narrow"/>
                <w:b/>
                <w:bCs/>
                <w:sz w:val="26"/>
                <w:szCs w:val="26"/>
              </w:rPr>
            </w:pPr>
            <w:r>
              <w:rPr>
                <w:rFonts w:ascii="Arial Narrow" w:hAnsi="Arial Narrow"/>
                <w:b/>
                <w:bCs/>
                <w:sz w:val="26"/>
                <w:szCs w:val="26"/>
              </w:rPr>
              <w:t>Baniamandir</w:t>
            </w:r>
          </w:p>
        </w:tc>
        <w:tc>
          <w:tcPr>
            <w:tcW w:w="1002" w:type="dxa"/>
            <w:tcBorders>
              <w:top w:val="nil"/>
              <w:left w:val="nil"/>
              <w:bottom w:val="single" w:sz="4" w:space="0" w:color="auto"/>
              <w:right w:val="single" w:sz="4" w:space="0" w:color="auto"/>
            </w:tcBorders>
            <w:shd w:val="clear" w:color="auto" w:fill="auto"/>
            <w:noWrap/>
            <w:vAlign w:val="bottom"/>
            <w:hideMark/>
          </w:tcPr>
          <w:p w:rsidR="00784A11" w:rsidRPr="00E1665D" w:rsidRDefault="00784A11" w:rsidP="00351C2A">
            <w:pPr>
              <w:jc w:val="both"/>
              <w:rPr>
                <w:rFonts w:ascii="Calibri" w:hAnsi="Calibri"/>
                <w:color w:val="000000" w:themeColor="text1"/>
                <w:sz w:val="22"/>
                <w:szCs w:val="22"/>
              </w:rPr>
            </w:pPr>
            <w:r w:rsidRPr="00E1665D">
              <w:rPr>
                <w:rFonts w:ascii="Calibri" w:hAnsi="Calibri"/>
                <w:color w:val="000000" w:themeColor="text1"/>
                <w:sz w:val="22"/>
                <w:szCs w:val="22"/>
              </w:rPr>
              <w:t>97</w:t>
            </w:r>
          </w:p>
        </w:tc>
        <w:tc>
          <w:tcPr>
            <w:tcW w:w="1036" w:type="dxa"/>
            <w:tcBorders>
              <w:top w:val="nil"/>
              <w:left w:val="nil"/>
              <w:bottom w:val="single" w:sz="4" w:space="0" w:color="auto"/>
              <w:right w:val="single" w:sz="4" w:space="0" w:color="auto"/>
            </w:tcBorders>
            <w:shd w:val="clear" w:color="auto" w:fill="auto"/>
            <w:noWrap/>
            <w:vAlign w:val="bottom"/>
            <w:hideMark/>
          </w:tcPr>
          <w:p w:rsidR="00784A11" w:rsidRPr="003C3E12" w:rsidRDefault="00784A11" w:rsidP="00351C2A">
            <w:pPr>
              <w:jc w:val="both"/>
              <w:rPr>
                <w:rFonts w:ascii="Calibri" w:hAnsi="Calibri"/>
                <w:color w:val="000000" w:themeColor="text1"/>
                <w:sz w:val="22"/>
                <w:szCs w:val="22"/>
              </w:rPr>
            </w:pPr>
            <w:r w:rsidRPr="003C3E12">
              <w:rPr>
                <w:rFonts w:ascii="Calibri" w:hAnsi="Calibri"/>
                <w:color w:val="000000" w:themeColor="text1"/>
                <w:sz w:val="22"/>
                <w:szCs w:val="22"/>
              </w:rPr>
              <w:t>31</w:t>
            </w:r>
          </w:p>
        </w:tc>
        <w:tc>
          <w:tcPr>
            <w:tcW w:w="1255" w:type="dxa"/>
            <w:tcBorders>
              <w:top w:val="nil"/>
              <w:left w:val="nil"/>
              <w:bottom w:val="single" w:sz="4" w:space="0" w:color="auto"/>
              <w:right w:val="single" w:sz="4" w:space="0" w:color="auto"/>
            </w:tcBorders>
            <w:shd w:val="clear" w:color="auto" w:fill="auto"/>
            <w:noWrap/>
            <w:vAlign w:val="bottom"/>
            <w:hideMark/>
          </w:tcPr>
          <w:p w:rsidR="00784A11" w:rsidRDefault="00784A11" w:rsidP="00351C2A">
            <w:pPr>
              <w:jc w:val="center"/>
              <w:rPr>
                <w:rFonts w:ascii="Calibri" w:hAnsi="Calibri" w:cs="Calibri"/>
                <w:sz w:val="22"/>
                <w:szCs w:val="22"/>
              </w:rPr>
            </w:pPr>
            <w:r>
              <w:rPr>
                <w:rFonts w:ascii="Calibri" w:hAnsi="Calibri" w:cs="Calibri"/>
                <w:sz w:val="22"/>
                <w:szCs w:val="22"/>
              </w:rPr>
              <w:t>4306</w:t>
            </w:r>
          </w:p>
        </w:tc>
        <w:tc>
          <w:tcPr>
            <w:tcW w:w="1269" w:type="dxa"/>
            <w:tcBorders>
              <w:top w:val="nil"/>
              <w:left w:val="nil"/>
              <w:bottom w:val="single" w:sz="4" w:space="0" w:color="auto"/>
              <w:right w:val="single" w:sz="4" w:space="0" w:color="auto"/>
            </w:tcBorders>
            <w:shd w:val="clear" w:color="auto" w:fill="auto"/>
            <w:noWrap/>
            <w:vAlign w:val="bottom"/>
            <w:hideMark/>
          </w:tcPr>
          <w:p w:rsidR="00784A11" w:rsidRDefault="00784A11" w:rsidP="00351C2A">
            <w:pPr>
              <w:jc w:val="center"/>
              <w:rPr>
                <w:rFonts w:ascii="Calibri" w:hAnsi="Calibri" w:cs="Calibri"/>
                <w:sz w:val="22"/>
                <w:szCs w:val="22"/>
              </w:rPr>
            </w:pPr>
            <w:r>
              <w:rPr>
                <w:rFonts w:ascii="Calibri" w:hAnsi="Calibri" w:cs="Calibri"/>
                <w:sz w:val="22"/>
                <w:szCs w:val="22"/>
              </w:rPr>
              <w:t>3954</w:t>
            </w:r>
          </w:p>
        </w:tc>
        <w:tc>
          <w:tcPr>
            <w:tcW w:w="992" w:type="dxa"/>
            <w:tcBorders>
              <w:top w:val="nil"/>
              <w:left w:val="nil"/>
              <w:bottom w:val="single" w:sz="4" w:space="0" w:color="auto"/>
              <w:right w:val="single" w:sz="4" w:space="0" w:color="auto"/>
            </w:tcBorders>
            <w:shd w:val="clear" w:color="auto" w:fill="auto"/>
            <w:noWrap/>
            <w:vAlign w:val="bottom"/>
            <w:hideMark/>
          </w:tcPr>
          <w:p w:rsidR="00784A11" w:rsidRPr="0017499E" w:rsidRDefault="00784A11" w:rsidP="00351C2A">
            <w:pPr>
              <w:jc w:val="both"/>
              <w:rPr>
                <w:rFonts w:ascii="Calibri" w:hAnsi="Calibri"/>
                <w:color w:val="000000" w:themeColor="text1"/>
                <w:sz w:val="22"/>
                <w:szCs w:val="22"/>
              </w:rPr>
            </w:pPr>
            <w:r w:rsidRPr="0017499E">
              <w:rPr>
                <w:rFonts w:ascii="Calibri" w:hAnsi="Calibri"/>
                <w:color w:val="000000" w:themeColor="text1"/>
                <w:sz w:val="22"/>
                <w:szCs w:val="22"/>
              </w:rPr>
              <w:t>18%</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84A11" w:rsidRPr="009A02BD" w:rsidRDefault="00784A11" w:rsidP="00351C2A">
            <w:pPr>
              <w:jc w:val="both"/>
              <w:rPr>
                <w:rFonts w:ascii="Calibri" w:hAnsi="Calibri"/>
                <w:color w:val="000000" w:themeColor="text1"/>
                <w:sz w:val="22"/>
                <w:szCs w:val="22"/>
              </w:rPr>
            </w:pPr>
            <w:r w:rsidRPr="009A02BD">
              <w:rPr>
                <w:rFonts w:ascii="Calibri" w:hAnsi="Calibri"/>
                <w:color w:val="000000" w:themeColor="text1"/>
                <w:sz w:val="22"/>
                <w:szCs w:val="22"/>
              </w:rPr>
              <w:t>19%</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784A11" w:rsidRPr="00695CF0" w:rsidRDefault="00784A11" w:rsidP="00351C2A">
            <w:pPr>
              <w:jc w:val="both"/>
              <w:rPr>
                <w:rFonts w:ascii="Calibri" w:hAnsi="Calibri"/>
                <w:color w:val="000000" w:themeColor="text1"/>
                <w:sz w:val="22"/>
                <w:szCs w:val="22"/>
              </w:rPr>
            </w:pPr>
            <w:r>
              <w:rPr>
                <w:rFonts w:ascii="Calibri" w:hAnsi="Calibri"/>
                <w:color w:val="000000" w:themeColor="text1"/>
                <w:sz w:val="22"/>
                <w:szCs w:val="22"/>
              </w:rPr>
              <w:t>18</w:t>
            </w:r>
            <w:r w:rsidRPr="00695CF0">
              <w:rPr>
                <w:rFonts w:ascii="Calibri" w:hAnsi="Calibri"/>
                <w:color w:val="000000" w:themeColor="text1"/>
                <w:sz w:val="22"/>
                <w:szCs w:val="22"/>
              </w:rPr>
              <w:t>%</w:t>
            </w:r>
          </w:p>
        </w:tc>
      </w:tr>
      <w:tr w:rsidR="00784A11" w:rsidTr="00351C2A">
        <w:trPr>
          <w:trHeight w:val="345"/>
        </w:trPr>
        <w:tc>
          <w:tcPr>
            <w:tcW w:w="684" w:type="dxa"/>
            <w:tcBorders>
              <w:top w:val="nil"/>
              <w:left w:val="single" w:sz="4" w:space="0" w:color="auto"/>
              <w:bottom w:val="single" w:sz="4" w:space="0" w:color="auto"/>
              <w:right w:val="single" w:sz="4" w:space="0" w:color="auto"/>
            </w:tcBorders>
            <w:shd w:val="clear" w:color="auto" w:fill="auto"/>
            <w:vAlign w:val="center"/>
            <w:hideMark/>
          </w:tcPr>
          <w:p w:rsidR="00784A11" w:rsidRDefault="00784A11" w:rsidP="00351C2A">
            <w:pPr>
              <w:jc w:val="both"/>
              <w:rPr>
                <w:rFonts w:ascii="Calibri" w:hAnsi="Calibri"/>
                <w:color w:val="000000"/>
                <w:sz w:val="22"/>
                <w:szCs w:val="22"/>
              </w:rPr>
            </w:pPr>
            <w:r>
              <w:rPr>
                <w:rFonts w:ascii="Calibri" w:hAnsi="Calibri"/>
                <w:color w:val="000000"/>
                <w:sz w:val="22"/>
                <w:szCs w:val="22"/>
              </w:rPr>
              <w:t>4</w:t>
            </w:r>
          </w:p>
        </w:tc>
        <w:tc>
          <w:tcPr>
            <w:tcW w:w="1857" w:type="dxa"/>
            <w:tcBorders>
              <w:top w:val="nil"/>
              <w:left w:val="nil"/>
              <w:bottom w:val="single" w:sz="4" w:space="0" w:color="auto"/>
              <w:right w:val="single" w:sz="4" w:space="0" w:color="auto"/>
            </w:tcBorders>
            <w:shd w:val="clear" w:color="auto" w:fill="auto"/>
            <w:vAlign w:val="center"/>
            <w:hideMark/>
          </w:tcPr>
          <w:p w:rsidR="00784A11" w:rsidRDefault="00784A11" w:rsidP="00351C2A">
            <w:pPr>
              <w:jc w:val="both"/>
              <w:rPr>
                <w:rFonts w:ascii="Arial Narrow" w:hAnsi="Arial Narrow"/>
                <w:b/>
                <w:bCs/>
                <w:sz w:val="26"/>
                <w:szCs w:val="26"/>
              </w:rPr>
            </w:pPr>
            <w:r>
              <w:rPr>
                <w:rFonts w:ascii="Arial Narrow" w:hAnsi="Arial Narrow"/>
                <w:b/>
                <w:bCs/>
                <w:sz w:val="26"/>
                <w:szCs w:val="26"/>
              </w:rPr>
              <w:t>Sunhat</w:t>
            </w:r>
          </w:p>
        </w:tc>
        <w:tc>
          <w:tcPr>
            <w:tcW w:w="1002" w:type="dxa"/>
            <w:tcBorders>
              <w:top w:val="nil"/>
              <w:left w:val="nil"/>
              <w:bottom w:val="single" w:sz="4" w:space="0" w:color="auto"/>
              <w:right w:val="single" w:sz="4" w:space="0" w:color="auto"/>
            </w:tcBorders>
            <w:shd w:val="clear" w:color="auto" w:fill="auto"/>
            <w:noWrap/>
            <w:vAlign w:val="bottom"/>
            <w:hideMark/>
          </w:tcPr>
          <w:p w:rsidR="00784A11" w:rsidRPr="00424814" w:rsidRDefault="00784A11" w:rsidP="00351C2A">
            <w:pPr>
              <w:jc w:val="both"/>
              <w:rPr>
                <w:rFonts w:ascii="Calibri" w:hAnsi="Calibri"/>
                <w:color w:val="000000" w:themeColor="text1"/>
                <w:sz w:val="22"/>
                <w:szCs w:val="22"/>
              </w:rPr>
            </w:pPr>
            <w:r w:rsidRPr="00424814">
              <w:rPr>
                <w:rFonts w:ascii="Calibri" w:hAnsi="Calibri"/>
                <w:color w:val="000000" w:themeColor="text1"/>
                <w:sz w:val="22"/>
                <w:szCs w:val="22"/>
              </w:rPr>
              <w:t>145</w:t>
            </w:r>
          </w:p>
        </w:tc>
        <w:tc>
          <w:tcPr>
            <w:tcW w:w="1036" w:type="dxa"/>
            <w:tcBorders>
              <w:top w:val="nil"/>
              <w:left w:val="nil"/>
              <w:bottom w:val="single" w:sz="4" w:space="0" w:color="auto"/>
              <w:right w:val="single" w:sz="4" w:space="0" w:color="auto"/>
            </w:tcBorders>
            <w:shd w:val="clear" w:color="auto" w:fill="auto"/>
            <w:noWrap/>
            <w:vAlign w:val="bottom"/>
            <w:hideMark/>
          </w:tcPr>
          <w:p w:rsidR="00784A11" w:rsidRPr="003C3E12" w:rsidRDefault="00784A11" w:rsidP="00351C2A">
            <w:pPr>
              <w:jc w:val="both"/>
              <w:rPr>
                <w:rFonts w:ascii="Calibri" w:hAnsi="Calibri"/>
                <w:color w:val="000000" w:themeColor="text1"/>
                <w:sz w:val="22"/>
                <w:szCs w:val="22"/>
              </w:rPr>
            </w:pPr>
            <w:r w:rsidRPr="003C3E12">
              <w:rPr>
                <w:rFonts w:ascii="Calibri" w:hAnsi="Calibri"/>
                <w:color w:val="000000" w:themeColor="text1"/>
                <w:sz w:val="22"/>
                <w:szCs w:val="22"/>
              </w:rPr>
              <w:t>19</w:t>
            </w:r>
          </w:p>
        </w:tc>
        <w:tc>
          <w:tcPr>
            <w:tcW w:w="1255" w:type="dxa"/>
            <w:tcBorders>
              <w:top w:val="nil"/>
              <w:left w:val="nil"/>
              <w:bottom w:val="single" w:sz="4" w:space="0" w:color="auto"/>
              <w:right w:val="single" w:sz="4" w:space="0" w:color="auto"/>
            </w:tcBorders>
            <w:shd w:val="clear" w:color="auto" w:fill="auto"/>
            <w:noWrap/>
            <w:vAlign w:val="bottom"/>
            <w:hideMark/>
          </w:tcPr>
          <w:p w:rsidR="00784A11" w:rsidRDefault="00784A11" w:rsidP="00351C2A">
            <w:pPr>
              <w:jc w:val="center"/>
              <w:rPr>
                <w:rFonts w:ascii="Calibri" w:hAnsi="Calibri" w:cs="Calibri"/>
                <w:sz w:val="22"/>
                <w:szCs w:val="22"/>
              </w:rPr>
            </w:pPr>
            <w:r>
              <w:rPr>
                <w:rFonts w:ascii="Calibri" w:hAnsi="Calibri" w:cs="Calibri"/>
                <w:sz w:val="22"/>
                <w:szCs w:val="22"/>
              </w:rPr>
              <w:t>3678</w:t>
            </w:r>
          </w:p>
        </w:tc>
        <w:tc>
          <w:tcPr>
            <w:tcW w:w="1269" w:type="dxa"/>
            <w:tcBorders>
              <w:top w:val="nil"/>
              <w:left w:val="nil"/>
              <w:bottom w:val="single" w:sz="4" w:space="0" w:color="auto"/>
              <w:right w:val="single" w:sz="4" w:space="0" w:color="auto"/>
            </w:tcBorders>
            <w:shd w:val="clear" w:color="auto" w:fill="auto"/>
            <w:noWrap/>
            <w:vAlign w:val="bottom"/>
            <w:hideMark/>
          </w:tcPr>
          <w:p w:rsidR="00784A11" w:rsidRDefault="00784A11" w:rsidP="00351C2A">
            <w:pPr>
              <w:jc w:val="center"/>
              <w:rPr>
                <w:rFonts w:ascii="Calibri" w:hAnsi="Calibri" w:cs="Calibri"/>
                <w:sz w:val="22"/>
                <w:szCs w:val="22"/>
              </w:rPr>
            </w:pPr>
            <w:r>
              <w:rPr>
                <w:rFonts w:ascii="Calibri" w:hAnsi="Calibri" w:cs="Calibri"/>
                <w:sz w:val="22"/>
                <w:szCs w:val="22"/>
              </w:rPr>
              <w:t>3267</w:t>
            </w:r>
          </w:p>
        </w:tc>
        <w:tc>
          <w:tcPr>
            <w:tcW w:w="992" w:type="dxa"/>
            <w:tcBorders>
              <w:top w:val="nil"/>
              <w:left w:val="nil"/>
              <w:bottom w:val="single" w:sz="4" w:space="0" w:color="auto"/>
              <w:right w:val="single" w:sz="4" w:space="0" w:color="auto"/>
            </w:tcBorders>
            <w:shd w:val="clear" w:color="auto" w:fill="auto"/>
            <w:noWrap/>
            <w:vAlign w:val="bottom"/>
            <w:hideMark/>
          </w:tcPr>
          <w:p w:rsidR="00784A11" w:rsidRPr="0017499E" w:rsidRDefault="00784A11" w:rsidP="00351C2A">
            <w:pPr>
              <w:jc w:val="both"/>
              <w:rPr>
                <w:rFonts w:ascii="Calibri" w:hAnsi="Calibri"/>
                <w:color w:val="000000" w:themeColor="text1"/>
                <w:sz w:val="22"/>
                <w:szCs w:val="22"/>
              </w:rPr>
            </w:pPr>
            <w:r w:rsidRPr="0017499E">
              <w:rPr>
                <w:rFonts w:ascii="Calibri" w:hAnsi="Calibri"/>
                <w:color w:val="000000" w:themeColor="text1"/>
                <w:sz w:val="22"/>
                <w:szCs w:val="22"/>
              </w:rPr>
              <w:t>23%</w:t>
            </w:r>
          </w:p>
        </w:tc>
        <w:tc>
          <w:tcPr>
            <w:tcW w:w="1134" w:type="dxa"/>
            <w:gridSpan w:val="3"/>
            <w:tcBorders>
              <w:top w:val="nil"/>
              <w:left w:val="nil"/>
              <w:bottom w:val="single" w:sz="4" w:space="0" w:color="auto"/>
              <w:right w:val="single" w:sz="4" w:space="0" w:color="auto"/>
            </w:tcBorders>
            <w:shd w:val="clear" w:color="auto" w:fill="auto"/>
            <w:noWrap/>
            <w:vAlign w:val="bottom"/>
            <w:hideMark/>
          </w:tcPr>
          <w:p w:rsidR="00784A11" w:rsidRPr="009A02BD" w:rsidRDefault="00784A11" w:rsidP="00351C2A">
            <w:pPr>
              <w:jc w:val="both"/>
              <w:rPr>
                <w:rFonts w:ascii="Calibri" w:hAnsi="Calibri"/>
                <w:color w:val="000000" w:themeColor="text1"/>
                <w:sz w:val="22"/>
                <w:szCs w:val="22"/>
              </w:rPr>
            </w:pPr>
            <w:r w:rsidRPr="009A02BD">
              <w:rPr>
                <w:rFonts w:ascii="Calibri" w:hAnsi="Calibri"/>
                <w:color w:val="000000" w:themeColor="text1"/>
                <w:sz w:val="22"/>
                <w:szCs w:val="22"/>
              </w:rPr>
              <w:t>22%</w:t>
            </w:r>
          </w:p>
        </w:tc>
        <w:tc>
          <w:tcPr>
            <w:tcW w:w="992" w:type="dxa"/>
            <w:gridSpan w:val="3"/>
            <w:tcBorders>
              <w:top w:val="nil"/>
              <w:left w:val="nil"/>
              <w:bottom w:val="single" w:sz="4" w:space="0" w:color="auto"/>
              <w:right w:val="single" w:sz="4" w:space="0" w:color="auto"/>
            </w:tcBorders>
            <w:shd w:val="clear" w:color="auto" w:fill="auto"/>
            <w:noWrap/>
            <w:vAlign w:val="bottom"/>
            <w:hideMark/>
          </w:tcPr>
          <w:p w:rsidR="00784A11" w:rsidRPr="00695CF0" w:rsidRDefault="00784A11" w:rsidP="00351C2A">
            <w:pPr>
              <w:jc w:val="both"/>
              <w:rPr>
                <w:rFonts w:ascii="Calibri" w:hAnsi="Calibri"/>
                <w:color w:val="000000" w:themeColor="text1"/>
                <w:sz w:val="22"/>
                <w:szCs w:val="22"/>
              </w:rPr>
            </w:pPr>
            <w:r>
              <w:rPr>
                <w:rFonts w:ascii="Calibri" w:hAnsi="Calibri"/>
                <w:color w:val="000000" w:themeColor="text1"/>
                <w:sz w:val="22"/>
                <w:szCs w:val="22"/>
              </w:rPr>
              <w:t>21</w:t>
            </w:r>
            <w:r w:rsidRPr="00695CF0">
              <w:rPr>
                <w:rFonts w:ascii="Calibri" w:hAnsi="Calibri"/>
                <w:color w:val="000000" w:themeColor="text1"/>
                <w:sz w:val="22"/>
                <w:szCs w:val="22"/>
              </w:rPr>
              <w:t>%</w:t>
            </w:r>
          </w:p>
        </w:tc>
      </w:tr>
    </w:tbl>
    <w:p w:rsidR="00784A11" w:rsidRPr="00345D14" w:rsidRDefault="00784A11" w:rsidP="00345D14">
      <w:pPr>
        <w:pStyle w:val="BodyText2"/>
        <w:spacing w:line="360" w:lineRule="auto"/>
        <w:jc w:val="both"/>
        <w:rPr>
          <w:rFonts w:ascii="Cambria" w:hAnsi="Cambria" w:cs="Arial"/>
          <w:sz w:val="24"/>
          <w:szCs w:val="24"/>
          <w:lang w:val="en-GB"/>
        </w:rPr>
      </w:pPr>
      <w:r w:rsidRPr="00345D14">
        <w:rPr>
          <w:rFonts w:ascii="Cambria" w:hAnsi="Cambria" w:cs="Arial"/>
          <w:sz w:val="24"/>
          <w:szCs w:val="24"/>
          <w:lang w:val="en-GB"/>
        </w:rPr>
        <w:t>As per direction of Hon’ble Commission 06 nos. of new 11 KV feeders have been chosen for energy Auditing under BNED, Bhadrak as follows.</w:t>
      </w:r>
    </w:p>
    <w:tbl>
      <w:tblPr>
        <w:tblpPr w:leftFromText="180" w:rightFromText="180" w:vertAnchor="text" w:horzAnchor="page" w:tblpX="1710" w:tblpY="64"/>
        <w:tblW w:w="9464" w:type="dxa"/>
        <w:tblLayout w:type="fixed"/>
        <w:tblLook w:val="04A0"/>
      </w:tblPr>
      <w:tblGrid>
        <w:gridCol w:w="817"/>
        <w:gridCol w:w="1701"/>
        <w:gridCol w:w="709"/>
        <w:gridCol w:w="992"/>
        <w:gridCol w:w="709"/>
        <w:gridCol w:w="1417"/>
        <w:gridCol w:w="1276"/>
        <w:gridCol w:w="1843"/>
      </w:tblGrid>
      <w:tr w:rsidR="00784A11" w:rsidRPr="00682822" w:rsidTr="00351C2A">
        <w:trPr>
          <w:trHeight w:val="1575"/>
        </w:trPr>
        <w:tc>
          <w:tcPr>
            <w:tcW w:w="817"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color w:val="000000"/>
                <w:sz w:val="20"/>
                <w:szCs w:val="20"/>
                <w:lang w:val="en-IN" w:eastAsia="en-IN"/>
              </w:rPr>
            </w:pPr>
            <w:r w:rsidRPr="00682822">
              <w:rPr>
                <w:rFonts w:asciiTheme="minorHAnsi" w:hAnsiTheme="minorHAnsi"/>
                <w:color w:val="000000"/>
                <w:sz w:val="20"/>
                <w:szCs w:val="20"/>
                <w:lang w:val="en-IN" w:eastAsia="en-IN"/>
              </w:rPr>
              <w:t>SL NO</w:t>
            </w:r>
          </w:p>
        </w:tc>
        <w:tc>
          <w:tcPr>
            <w:tcW w:w="1701" w:type="dxa"/>
            <w:tcBorders>
              <w:top w:val="single" w:sz="4" w:space="0" w:color="000000"/>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color w:val="000000"/>
                <w:sz w:val="20"/>
                <w:szCs w:val="20"/>
                <w:lang w:val="en-IN" w:eastAsia="en-IN"/>
              </w:rPr>
            </w:pPr>
            <w:r w:rsidRPr="00682822">
              <w:rPr>
                <w:rFonts w:asciiTheme="minorHAnsi" w:hAnsiTheme="minorHAnsi"/>
                <w:color w:val="000000"/>
                <w:sz w:val="20"/>
                <w:szCs w:val="20"/>
                <w:lang w:val="en-IN" w:eastAsia="en-IN"/>
              </w:rPr>
              <w:t>NAME OF 11KV FEEDER</w:t>
            </w:r>
          </w:p>
        </w:tc>
        <w:tc>
          <w:tcPr>
            <w:tcW w:w="709" w:type="dxa"/>
            <w:tcBorders>
              <w:top w:val="single" w:sz="4" w:space="0" w:color="000000"/>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color w:val="000000"/>
                <w:sz w:val="20"/>
                <w:szCs w:val="20"/>
                <w:lang w:val="en-IN" w:eastAsia="en-IN"/>
              </w:rPr>
            </w:pPr>
            <w:r w:rsidRPr="00682822">
              <w:rPr>
                <w:rFonts w:asciiTheme="minorHAnsi" w:hAnsiTheme="minorHAnsi"/>
                <w:color w:val="000000"/>
                <w:sz w:val="20"/>
                <w:szCs w:val="20"/>
                <w:lang w:val="en-IN" w:eastAsia="en-IN"/>
              </w:rPr>
              <w:t>FEEDER CODE</w:t>
            </w:r>
          </w:p>
        </w:tc>
        <w:tc>
          <w:tcPr>
            <w:tcW w:w="992" w:type="dxa"/>
            <w:tcBorders>
              <w:top w:val="single" w:sz="4" w:space="0" w:color="000000"/>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color w:val="000000"/>
                <w:sz w:val="20"/>
                <w:szCs w:val="20"/>
                <w:lang w:val="en-IN" w:eastAsia="en-IN"/>
              </w:rPr>
            </w:pPr>
            <w:r w:rsidRPr="00682822">
              <w:rPr>
                <w:rFonts w:asciiTheme="minorHAnsi" w:hAnsiTheme="minorHAnsi"/>
                <w:color w:val="000000"/>
                <w:sz w:val="20"/>
                <w:szCs w:val="20"/>
                <w:lang w:val="en-IN" w:eastAsia="en-IN"/>
              </w:rPr>
              <w:t>LENGTH OF FDR</w:t>
            </w:r>
          </w:p>
        </w:tc>
        <w:tc>
          <w:tcPr>
            <w:tcW w:w="709" w:type="dxa"/>
            <w:tcBorders>
              <w:top w:val="single" w:sz="4" w:space="0" w:color="000000"/>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color w:val="000000"/>
                <w:sz w:val="20"/>
                <w:szCs w:val="20"/>
                <w:lang w:val="en-IN" w:eastAsia="en-IN"/>
              </w:rPr>
            </w:pPr>
            <w:r w:rsidRPr="00682822">
              <w:rPr>
                <w:rFonts w:asciiTheme="minorHAnsi" w:hAnsiTheme="minorHAnsi"/>
                <w:color w:val="000000"/>
                <w:sz w:val="20"/>
                <w:szCs w:val="20"/>
                <w:lang w:val="en-IN" w:eastAsia="en-IN"/>
              </w:rPr>
              <w:t>NO OF DTR</w:t>
            </w:r>
          </w:p>
        </w:tc>
        <w:tc>
          <w:tcPr>
            <w:tcW w:w="1417" w:type="dxa"/>
            <w:tcBorders>
              <w:top w:val="single" w:sz="4" w:space="0" w:color="000000"/>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color w:val="000000"/>
                <w:sz w:val="20"/>
                <w:szCs w:val="20"/>
                <w:lang w:val="en-IN" w:eastAsia="en-IN"/>
              </w:rPr>
            </w:pPr>
            <w:r w:rsidRPr="00682822">
              <w:rPr>
                <w:rFonts w:asciiTheme="minorHAnsi" w:hAnsiTheme="minorHAnsi"/>
                <w:color w:val="000000"/>
                <w:sz w:val="20"/>
                <w:szCs w:val="20"/>
                <w:lang w:val="en-IN" w:eastAsia="en-IN"/>
              </w:rPr>
              <w:t>NO OF CONSUMER</w:t>
            </w:r>
          </w:p>
        </w:tc>
        <w:tc>
          <w:tcPr>
            <w:tcW w:w="1276" w:type="dxa"/>
            <w:tcBorders>
              <w:top w:val="single" w:sz="4" w:space="0" w:color="000000"/>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color w:val="000000"/>
                <w:sz w:val="20"/>
                <w:szCs w:val="20"/>
                <w:lang w:val="en-IN" w:eastAsia="en-IN"/>
              </w:rPr>
            </w:pPr>
            <w:r w:rsidRPr="00682822">
              <w:rPr>
                <w:rFonts w:asciiTheme="minorHAnsi" w:hAnsiTheme="minorHAnsi"/>
                <w:color w:val="000000"/>
                <w:sz w:val="20"/>
                <w:szCs w:val="20"/>
                <w:lang w:val="en-IN" w:eastAsia="en-IN"/>
              </w:rPr>
              <w:t>PRESENT LOSS LEVEL</w:t>
            </w:r>
          </w:p>
        </w:tc>
        <w:tc>
          <w:tcPr>
            <w:tcW w:w="1843" w:type="dxa"/>
            <w:tcBorders>
              <w:top w:val="single" w:sz="4" w:space="0" w:color="000000"/>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color w:val="000000"/>
                <w:sz w:val="20"/>
                <w:szCs w:val="20"/>
                <w:lang w:val="en-IN" w:eastAsia="en-IN"/>
              </w:rPr>
            </w:pPr>
            <w:r w:rsidRPr="00682822">
              <w:rPr>
                <w:rFonts w:asciiTheme="minorHAnsi" w:hAnsiTheme="minorHAnsi"/>
                <w:color w:val="000000"/>
                <w:sz w:val="20"/>
                <w:szCs w:val="20"/>
                <w:lang w:val="en-IN" w:eastAsia="en-IN"/>
              </w:rPr>
              <w:t>TARGET  FOR % LOSS REDUCTION</w:t>
            </w:r>
          </w:p>
        </w:tc>
      </w:tr>
      <w:tr w:rsidR="00784A11" w:rsidRPr="00682822" w:rsidTr="00351C2A">
        <w:trPr>
          <w:trHeight w:val="630"/>
        </w:trPr>
        <w:tc>
          <w:tcPr>
            <w:tcW w:w="817" w:type="dxa"/>
            <w:tcBorders>
              <w:top w:val="nil"/>
              <w:left w:val="single" w:sz="4" w:space="0" w:color="000000"/>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color w:val="000000"/>
                <w:sz w:val="20"/>
                <w:szCs w:val="20"/>
                <w:lang w:val="en-IN" w:eastAsia="en-IN"/>
              </w:rPr>
            </w:pPr>
            <w:r w:rsidRPr="00682822">
              <w:rPr>
                <w:rFonts w:asciiTheme="minorHAnsi" w:hAnsiTheme="minorHAnsi"/>
                <w:color w:val="000000"/>
                <w:sz w:val="20"/>
                <w:szCs w:val="20"/>
                <w:lang w:val="en-IN" w:eastAsia="en-IN"/>
              </w:rPr>
              <w:lastRenderedPageBreak/>
              <w:t>1</w:t>
            </w:r>
          </w:p>
        </w:tc>
        <w:tc>
          <w:tcPr>
            <w:tcW w:w="1701" w:type="dxa"/>
            <w:tcBorders>
              <w:top w:val="nil"/>
              <w:left w:val="nil"/>
              <w:bottom w:val="single" w:sz="4" w:space="0" w:color="000000"/>
              <w:right w:val="single" w:sz="4" w:space="0" w:color="000000"/>
            </w:tcBorders>
            <w:shd w:val="clear" w:color="auto" w:fill="auto"/>
            <w:vAlign w:val="center"/>
            <w:hideMark/>
          </w:tcPr>
          <w:p w:rsidR="00784A11" w:rsidRPr="00261058" w:rsidRDefault="00784A11" w:rsidP="00351C2A">
            <w:pPr>
              <w:jc w:val="center"/>
              <w:rPr>
                <w:rFonts w:asciiTheme="minorHAnsi" w:hAnsiTheme="minorHAnsi"/>
                <w:b/>
                <w:color w:val="000000"/>
                <w:sz w:val="20"/>
                <w:szCs w:val="20"/>
                <w:lang w:val="en-IN" w:eastAsia="en-IN"/>
              </w:rPr>
            </w:pPr>
            <w:r w:rsidRPr="00261058">
              <w:rPr>
                <w:rFonts w:asciiTheme="minorHAnsi" w:hAnsiTheme="minorHAnsi"/>
                <w:b/>
                <w:color w:val="000000"/>
                <w:sz w:val="20"/>
                <w:szCs w:val="20"/>
                <w:lang w:val="en-IN" w:eastAsia="en-IN"/>
              </w:rPr>
              <w:t>CHARAMPA-I</w:t>
            </w:r>
          </w:p>
        </w:tc>
        <w:tc>
          <w:tcPr>
            <w:tcW w:w="709"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color w:val="000000"/>
                <w:sz w:val="20"/>
                <w:szCs w:val="20"/>
                <w:lang w:val="en-IN" w:eastAsia="en-IN"/>
              </w:rPr>
            </w:pPr>
            <w:r w:rsidRPr="00682822">
              <w:rPr>
                <w:rFonts w:asciiTheme="minorHAnsi" w:hAnsiTheme="minorHAnsi"/>
                <w:color w:val="000000"/>
                <w:sz w:val="20"/>
                <w:szCs w:val="20"/>
                <w:lang w:val="en-IN" w:eastAsia="en-IN"/>
              </w:rPr>
              <w:t>JDCA</w:t>
            </w:r>
          </w:p>
        </w:tc>
        <w:tc>
          <w:tcPr>
            <w:tcW w:w="992"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b/>
                <w:bCs/>
                <w:color w:val="000000"/>
                <w:sz w:val="20"/>
                <w:szCs w:val="20"/>
                <w:lang w:val="en-IN" w:eastAsia="en-IN"/>
              </w:rPr>
            </w:pPr>
            <w:r w:rsidRPr="00682822">
              <w:rPr>
                <w:rFonts w:asciiTheme="minorHAnsi" w:hAnsiTheme="minorHAnsi"/>
                <w:b/>
                <w:bCs/>
                <w:color w:val="000000"/>
                <w:sz w:val="20"/>
                <w:szCs w:val="20"/>
                <w:lang w:val="en-IN" w:eastAsia="en-IN"/>
              </w:rPr>
              <w:t>22</w:t>
            </w:r>
          </w:p>
        </w:tc>
        <w:tc>
          <w:tcPr>
            <w:tcW w:w="709"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b/>
                <w:bCs/>
                <w:color w:val="000000"/>
                <w:sz w:val="20"/>
                <w:szCs w:val="20"/>
                <w:lang w:val="en-IN" w:eastAsia="en-IN"/>
              </w:rPr>
            </w:pPr>
            <w:r>
              <w:rPr>
                <w:rFonts w:asciiTheme="minorHAnsi" w:hAnsiTheme="minorHAnsi"/>
                <w:b/>
                <w:bCs/>
                <w:color w:val="000000"/>
                <w:sz w:val="20"/>
                <w:szCs w:val="20"/>
                <w:lang w:val="en-IN" w:eastAsia="en-IN"/>
              </w:rPr>
              <w:t>79</w:t>
            </w:r>
          </w:p>
        </w:tc>
        <w:tc>
          <w:tcPr>
            <w:tcW w:w="1417"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b/>
                <w:bCs/>
                <w:color w:val="000000"/>
                <w:sz w:val="20"/>
                <w:szCs w:val="20"/>
                <w:lang w:val="en-IN" w:eastAsia="en-IN"/>
              </w:rPr>
            </w:pPr>
            <w:r w:rsidRPr="00682822">
              <w:rPr>
                <w:rFonts w:asciiTheme="minorHAnsi" w:hAnsiTheme="minorHAnsi"/>
                <w:b/>
                <w:bCs/>
                <w:color w:val="000000"/>
                <w:sz w:val="20"/>
                <w:szCs w:val="20"/>
                <w:lang w:val="en-IN" w:eastAsia="en-IN"/>
              </w:rPr>
              <w:t>2982</w:t>
            </w:r>
          </w:p>
        </w:tc>
        <w:tc>
          <w:tcPr>
            <w:tcW w:w="1276"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b/>
                <w:bCs/>
                <w:color w:val="000000"/>
                <w:sz w:val="20"/>
                <w:szCs w:val="20"/>
                <w:lang w:val="en-IN" w:eastAsia="en-IN"/>
              </w:rPr>
            </w:pPr>
            <w:r w:rsidRPr="00682822">
              <w:rPr>
                <w:rFonts w:asciiTheme="minorHAnsi" w:hAnsiTheme="minorHAnsi"/>
                <w:b/>
                <w:bCs/>
                <w:color w:val="000000"/>
                <w:sz w:val="20"/>
                <w:szCs w:val="20"/>
                <w:lang w:val="en-IN" w:eastAsia="en-IN"/>
              </w:rPr>
              <w:t>37%</w:t>
            </w:r>
          </w:p>
        </w:tc>
        <w:tc>
          <w:tcPr>
            <w:tcW w:w="1843"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b/>
                <w:bCs/>
                <w:color w:val="000000"/>
                <w:sz w:val="20"/>
                <w:szCs w:val="20"/>
                <w:lang w:val="en-IN" w:eastAsia="en-IN"/>
              </w:rPr>
            </w:pPr>
            <w:r w:rsidRPr="00682822">
              <w:rPr>
                <w:rFonts w:asciiTheme="minorHAnsi" w:hAnsiTheme="minorHAnsi"/>
                <w:b/>
                <w:bCs/>
                <w:color w:val="000000"/>
                <w:sz w:val="20"/>
                <w:szCs w:val="20"/>
                <w:lang w:val="en-IN" w:eastAsia="en-IN"/>
              </w:rPr>
              <w:t>22%</w:t>
            </w:r>
          </w:p>
        </w:tc>
      </w:tr>
      <w:tr w:rsidR="00784A11" w:rsidRPr="00682822" w:rsidTr="00351C2A">
        <w:trPr>
          <w:trHeight w:val="630"/>
        </w:trPr>
        <w:tc>
          <w:tcPr>
            <w:tcW w:w="817" w:type="dxa"/>
            <w:tcBorders>
              <w:top w:val="nil"/>
              <w:left w:val="single" w:sz="4" w:space="0" w:color="000000"/>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color w:val="000000"/>
                <w:sz w:val="20"/>
                <w:szCs w:val="20"/>
                <w:lang w:val="en-IN" w:eastAsia="en-IN"/>
              </w:rPr>
            </w:pPr>
            <w:r w:rsidRPr="00682822">
              <w:rPr>
                <w:rFonts w:asciiTheme="minorHAnsi" w:hAnsiTheme="minorHAnsi"/>
                <w:color w:val="000000"/>
                <w:sz w:val="20"/>
                <w:szCs w:val="20"/>
                <w:lang w:val="en-IN" w:eastAsia="en-IN"/>
              </w:rPr>
              <w:t>2</w:t>
            </w:r>
          </w:p>
        </w:tc>
        <w:tc>
          <w:tcPr>
            <w:tcW w:w="1701" w:type="dxa"/>
            <w:tcBorders>
              <w:top w:val="nil"/>
              <w:left w:val="nil"/>
              <w:bottom w:val="single" w:sz="4" w:space="0" w:color="000000"/>
              <w:right w:val="single" w:sz="4" w:space="0" w:color="000000"/>
            </w:tcBorders>
            <w:shd w:val="clear" w:color="auto" w:fill="auto"/>
            <w:vAlign w:val="center"/>
            <w:hideMark/>
          </w:tcPr>
          <w:p w:rsidR="00784A11" w:rsidRPr="00261058" w:rsidRDefault="00784A11" w:rsidP="00351C2A">
            <w:pPr>
              <w:jc w:val="center"/>
              <w:rPr>
                <w:rFonts w:asciiTheme="minorHAnsi" w:hAnsiTheme="minorHAnsi"/>
                <w:b/>
                <w:color w:val="000000"/>
                <w:sz w:val="20"/>
                <w:szCs w:val="20"/>
                <w:lang w:val="en-IN" w:eastAsia="en-IN"/>
              </w:rPr>
            </w:pPr>
            <w:r w:rsidRPr="00261058">
              <w:rPr>
                <w:rFonts w:asciiTheme="minorHAnsi" w:hAnsiTheme="minorHAnsi"/>
                <w:b/>
                <w:color w:val="000000"/>
                <w:sz w:val="20"/>
                <w:szCs w:val="20"/>
                <w:lang w:val="en-IN" w:eastAsia="en-IN"/>
              </w:rPr>
              <w:t>CHANDANBAZAR</w:t>
            </w:r>
          </w:p>
        </w:tc>
        <w:tc>
          <w:tcPr>
            <w:tcW w:w="709"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color w:val="000000"/>
                <w:sz w:val="20"/>
                <w:szCs w:val="20"/>
                <w:lang w:val="en-IN" w:eastAsia="en-IN"/>
              </w:rPr>
            </w:pPr>
            <w:r w:rsidRPr="00682822">
              <w:rPr>
                <w:rFonts w:asciiTheme="minorHAnsi" w:hAnsiTheme="minorHAnsi"/>
                <w:color w:val="000000"/>
                <w:sz w:val="20"/>
                <w:szCs w:val="20"/>
                <w:lang w:val="en-IN" w:eastAsia="en-IN"/>
              </w:rPr>
              <w:t>JDCB</w:t>
            </w:r>
          </w:p>
        </w:tc>
        <w:tc>
          <w:tcPr>
            <w:tcW w:w="992"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b/>
                <w:bCs/>
                <w:color w:val="000000"/>
                <w:sz w:val="20"/>
                <w:szCs w:val="20"/>
                <w:lang w:val="en-IN" w:eastAsia="en-IN"/>
              </w:rPr>
            </w:pPr>
            <w:r w:rsidRPr="00682822">
              <w:rPr>
                <w:rFonts w:asciiTheme="minorHAnsi" w:hAnsiTheme="minorHAnsi"/>
                <w:b/>
                <w:bCs/>
                <w:color w:val="000000"/>
                <w:sz w:val="20"/>
                <w:szCs w:val="20"/>
                <w:lang w:val="en-IN" w:eastAsia="en-IN"/>
              </w:rPr>
              <w:t>41</w:t>
            </w:r>
          </w:p>
        </w:tc>
        <w:tc>
          <w:tcPr>
            <w:tcW w:w="709"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b/>
                <w:bCs/>
                <w:color w:val="000000"/>
                <w:sz w:val="20"/>
                <w:szCs w:val="20"/>
                <w:lang w:val="en-IN" w:eastAsia="en-IN"/>
              </w:rPr>
            </w:pPr>
            <w:r w:rsidRPr="00682822">
              <w:rPr>
                <w:rFonts w:asciiTheme="minorHAnsi" w:hAnsiTheme="minorHAnsi"/>
                <w:b/>
                <w:bCs/>
                <w:color w:val="000000"/>
                <w:sz w:val="20"/>
                <w:szCs w:val="20"/>
                <w:lang w:val="en-IN" w:eastAsia="en-IN"/>
              </w:rPr>
              <w:t>1</w:t>
            </w:r>
            <w:r>
              <w:rPr>
                <w:rFonts w:asciiTheme="minorHAnsi" w:hAnsiTheme="minorHAnsi"/>
                <w:b/>
                <w:bCs/>
                <w:color w:val="000000"/>
                <w:sz w:val="20"/>
                <w:szCs w:val="20"/>
                <w:lang w:val="en-IN" w:eastAsia="en-IN"/>
              </w:rPr>
              <w:t>84</w:t>
            </w:r>
          </w:p>
        </w:tc>
        <w:tc>
          <w:tcPr>
            <w:tcW w:w="1417"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b/>
                <w:bCs/>
                <w:color w:val="000000"/>
                <w:sz w:val="20"/>
                <w:szCs w:val="20"/>
                <w:lang w:val="en-IN" w:eastAsia="en-IN"/>
              </w:rPr>
            </w:pPr>
            <w:r w:rsidRPr="00682822">
              <w:rPr>
                <w:rFonts w:asciiTheme="minorHAnsi" w:hAnsiTheme="minorHAnsi"/>
                <w:b/>
                <w:bCs/>
                <w:color w:val="000000"/>
                <w:sz w:val="20"/>
                <w:szCs w:val="20"/>
                <w:lang w:val="en-IN" w:eastAsia="en-IN"/>
              </w:rPr>
              <w:t>10784</w:t>
            </w:r>
          </w:p>
        </w:tc>
        <w:tc>
          <w:tcPr>
            <w:tcW w:w="1276"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b/>
                <w:bCs/>
                <w:color w:val="000000"/>
                <w:sz w:val="20"/>
                <w:szCs w:val="20"/>
                <w:lang w:val="en-IN" w:eastAsia="en-IN"/>
              </w:rPr>
            </w:pPr>
            <w:r w:rsidRPr="00682822">
              <w:rPr>
                <w:rFonts w:asciiTheme="minorHAnsi" w:hAnsiTheme="minorHAnsi"/>
                <w:b/>
                <w:bCs/>
                <w:color w:val="000000"/>
                <w:sz w:val="20"/>
                <w:szCs w:val="20"/>
                <w:lang w:val="en-IN" w:eastAsia="en-IN"/>
              </w:rPr>
              <w:t>42%</w:t>
            </w:r>
          </w:p>
        </w:tc>
        <w:tc>
          <w:tcPr>
            <w:tcW w:w="1843"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b/>
                <w:bCs/>
                <w:color w:val="000000"/>
                <w:sz w:val="20"/>
                <w:szCs w:val="20"/>
                <w:lang w:val="en-IN" w:eastAsia="en-IN"/>
              </w:rPr>
            </w:pPr>
            <w:r w:rsidRPr="00682822">
              <w:rPr>
                <w:rFonts w:asciiTheme="minorHAnsi" w:hAnsiTheme="minorHAnsi"/>
                <w:b/>
                <w:bCs/>
                <w:color w:val="000000"/>
                <w:sz w:val="20"/>
                <w:szCs w:val="20"/>
                <w:lang w:val="en-IN" w:eastAsia="en-IN"/>
              </w:rPr>
              <w:t>27%</w:t>
            </w:r>
          </w:p>
        </w:tc>
      </w:tr>
      <w:tr w:rsidR="00784A11" w:rsidRPr="00682822" w:rsidTr="00351C2A">
        <w:trPr>
          <w:trHeight w:val="630"/>
        </w:trPr>
        <w:tc>
          <w:tcPr>
            <w:tcW w:w="817" w:type="dxa"/>
            <w:tcBorders>
              <w:top w:val="nil"/>
              <w:left w:val="single" w:sz="4" w:space="0" w:color="000000"/>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color w:val="000000"/>
                <w:sz w:val="20"/>
                <w:szCs w:val="20"/>
                <w:lang w:val="en-IN" w:eastAsia="en-IN"/>
              </w:rPr>
            </w:pPr>
            <w:r w:rsidRPr="00682822">
              <w:rPr>
                <w:rFonts w:asciiTheme="minorHAnsi" w:hAnsiTheme="minorHAnsi"/>
                <w:color w:val="000000"/>
                <w:sz w:val="20"/>
                <w:szCs w:val="20"/>
                <w:lang w:val="en-IN" w:eastAsia="en-IN"/>
              </w:rPr>
              <w:t>3</w:t>
            </w:r>
          </w:p>
        </w:tc>
        <w:tc>
          <w:tcPr>
            <w:tcW w:w="1701" w:type="dxa"/>
            <w:tcBorders>
              <w:top w:val="nil"/>
              <w:left w:val="nil"/>
              <w:bottom w:val="single" w:sz="4" w:space="0" w:color="000000"/>
              <w:right w:val="single" w:sz="4" w:space="0" w:color="000000"/>
            </w:tcBorders>
            <w:shd w:val="clear" w:color="auto" w:fill="auto"/>
            <w:vAlign w:val="center"/>
            <w:hideMark/>
          </w:tcPr>
          <w:p w:rsidR="00784A11" w:rsidRPr="00261058" w:rsidRDefault="00784A11" w:rsidP="00351C2A">
            <w:pPr>
              <w:jc w:val="center"/>
              <w:rPr>
                <w:rFonts w:asciiTheme="minorHAnsi" w:hAnsiTheme="minorHAnsi"/>
                <w:b/>
                <w:color w:val="000000"/>
                <w:sz w:val="20"/>
                <w:szCs w:val="20"/>
                <w:lang w:val="en-IN" w:eastAsia="en-IN"/>
              </w:rPr>
            </w:pPr>
            <w:r w:rsidRPr="00261058">
              <w:rPr>
                <w:rFonts w:asciiTheme="minorHAnsi" w:hAnsiTheme="minorHAnsi"/>
                <w:b/>
                <w:color w:val="000000"/>
                <w:sz w:val="20"/>
                <w:szCs w:val="20"/>
                <w:lang w:val="en-IN" w:eastAsia="en-IN"/>
              </w:rPr>
              <w:t>CHARAMPA-II</w:t>
            </w:r>
          </w:p>
        </w:tc>
        <w:tc>
          <w:tcPr>
            <w:tcW w:w="709"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color w:val="000000"/>
                <w:sz w:val="20"/>
                <w:szCs w:val="20"/>
                <w:lang w:val="en-IN" w:eastAsia="en-IN"/>
              </w:rPr>
            </w:pPr>
            <w:r w:rsidRPr="00682822">
              <w:rPr>
                <w:rFonts w:asciiTheme="minorHAnsi" w:hAnsiTheme="minorHAnsi"/>
                <w:color w:val="000000"/>
                <w:sz w:val="20"/>
                <w:szCs w:val="20"/>
                <w:lang w:val="en-IN" w:eastAsia="en-IN"/>
              </w:rPr>
              <w:t>JDCC</w:t>
            </w:r>
          </w:p>
        </w:tc>
        <w:tc>
          <w:tcPr>
            <w:tcW w:w="992"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b/>
                <w:bCs/>
                <w:color w:val="000000"/>
                <w:sz w:val="20"/>
                <w:szCs w:val="20"/>
                <w:lang w:val="en-IN" w:eastAsia="en-IN"/>
              </w:rPr>
            </w:pPr>
            <w:r w:rsidRPr="00682822">
              <w:rPr>
                <w:rFonts w:asciiTheme="minorHAnsi" w:hAnsiTheme="minorHAnsi"/>
                <w:b/>
                <w:bCs/>
                <w:color w:val="000000"/>
                <w:sz w:val="20"/>
                <w:szCs w:val="20"/>
                <w:lang w:val="en-IN" w:eastAsia="en-IN"/>
              </w:rPr>
              <w:t>6</w:t>
            </w:r>
          </w:p>
        </w:tc>
        <w:tc>
          <w:tcPr>
            <w:tcW w:w="709"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b/>
                <w:bCs/>
                <w:color w:val="000000"/>
                <w:sz w:val="20"/>
                <w:szCs w:val="20"/>
                <w:lang w:val="en-IN" w:eastAsia="en-IN"/>
              </w:rPr>
            </w:pPr>
            <w:r>
              <w:rPr>
                <w:rFonts w:asciiTheme="minorHAnsi" w:hAnsiTheme="minorHAnsi"/>
                <w:b/>
                <w:bCs/>
                <w:color w:val="000000"/>
                <w:sz w:val="20"/>
                <w:szCs w:val="20"/>
                <w:lang w:val="en-IN" w:eastAsia="en-IN"/>
              </w:rPr>
              <w:t>27</w:t>
            </w:r>
          </w:p>
        </w:tc>
        <w:tc>
          <w:tcPr>
            <w:tcW w:w="1417"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b/>
                <w:bCs/>
                <w:color w:val="000000"/>
                <w:sz w:val="20"/>
                <w:szCs w:val="20"/>
                <w:lang w:val="en-IN" w:eastAsia="en-IN"/>
              </w:rPr>
            </w:pPr>
            <w:r w:rsidRPr="00682822">
              <w:rPr>
                <w:rFonts w:asciiTheme="minorHAnsi" w:hAnsiTheme="minorHAnsi"/>
                <w:b/>
                <w:bCs/>
                <w:color w:val="000000"/>
                <w:sz w:val="20"/>
                <w:szCs w:val="20"/>
                <w:lang w:val="en-IN" w:eastAsia="en-IN"/>
              </w:rPr>
              <w:t>2240</w:t>
            </w:r>
          </w:p>
        </w:tc>
        <w:tc>
          <w:tcPr>
            <w:tcW w:w="1276"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b/>
                <w:bCs/>
                <w:color w:val="000000"/>
                <w:sz w:val="20"/>
                <w:szCs w:val="20"/>
                <w:lang w:val="en-IN" w:eastAsia="en-IN"/>
              </w:rPr>
            </w:pPr>
            <w:r w:rsidRPr="00682822">
              <w:rPr>
                <w:rFonts w:asciiTheme="minorHAnsi" w:hAnsiTheme="minorHAnsi"/>
                <w:b/>
                <w:bCs/>
                <w:color w:val="000000"/>
                <w:sz w:val="20"/>
                <w:szCs w:val="20"/>
                <w:lang w:val="en-IN" w:eastAsia="en-IN"/>
              </w:rPr>
              <w:t>31%</w:t>
            </w:r>
          </w:p>
        </w:tc>
        <w:tc>
          <w:tcPr>
            <w:tcW w:w="1843"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b/>
                <w:bCs/>
                <w:color w:val="000000"/>
                <w:sz w:val="20"/>
                <w:szCs w:val="20"/>
                <w:lang w:val="en-IN" w:eastAsia="en-IN"/>
              </w:rPr>
            </w:pPr>
            <w:r w:rsidRPr="00682822">
              <w:rPr>
                <w:rFonts w:asciiTheme="minorHAnsi" w:hAnsiTheme="minorHAnsi"/>
                <w:b/>
                <w:bCs/>
                <w:color w:val="000000"/>
                <w:sz w:val="20"/>
                <w:szCs w:val="20"/>
                <w:lang w:val="en-IN" w:eastAsia="en-IN"/>
              </w:rPr>
              <w:t>21%</w:t>
            </w:r>
          </w:p>
        </w:tc>
      </w:tr>
      <w:tr w:rsidR="00784A11" w:rsidRPr="00682822" w:rsidTr="00351C2A">
        <w:trPr>
          <w:trHeight w:val="630"/>
        </w:trPr>
        <w:tc>
          <w:tcPr>
            <w:tcW w:w="817" w:type="dxa"/>
            <w:tcBorders>
              <w:top w:val="nil"/>
              <w:left w:val="single" w:sz="4" w:space="0" w:color="000000"/>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color w:val="000000"/>
                <w:sz w:val="20"/>
                <w:szCs w:val="20"/>
                <w:lang w:val="en-IN" w:eastAsia="en-IN"/>
              </w:rPr>
            </w:pPr>
            <w:r w:rsidRPr="00682822">
              <w:rPr>
                <w:rFonts w:asciiTheme="minorHAnsi" w:hAnsiTheme="minorHAnsi"/>
                <w:color w:val="000000"/>
                <w:sz w:val="20"/>
                <w:szCs w:val="20"/>
                <w:lang w:val="en-IN" w:eastAsia="en-IN"/>
              </w:rPr>
              <w:t>4</w:t>
            </w:r>
          </w:p>
        </w:tc>
        <w:tc>
          <w:tcPr>
            <w:tcW w:w="1701" w:type="dxa"/>
            <w:tcBorders>
              <w:top w:val="nil"/>
              <w:left w:val="nil"/>
              <w:bottom w:val="single" w:sz="4" w:space="0" w:color="000000"/>
              <w:right w:val="single" w:sz="4" w:space="0" w:color="000000"/>
            </w:tcBorders>
            <w:shd w:val="clear" w:color="auto" w:fill="auto"/>
            <w:vAlign w:val="center"/>
            <w:hideMark/>
          </w:tcPr>
          <w:p w:rsidR="00784A11" w:rsidRPr="00261058" w:rsidRDefault="00784A11" w:rsidP="00351C2A">
            <w:pPr>
              <w:jc w:val="center"/>
              <w:rPr>
                <w:rFonts w:asciiTheme="minorHAnsi" w:hAnsiTheme="minorHAnsi"/>
                <w:b/>
                <w:color w:val="000000"/>
                <w:sz w:val="20"/>
                <w:szCs w:val="20"/>
                <w:lang w:val="en-IN" w:eastAsia="en-IN"/>
              </w:rPr>
            </w:pPr>
            <w:r w:rsidRPr="00261058">
              <w:rPr>
                <w:rFonts w:asciiTheme="minorHAnsi" w:hAnsiTheme="minorHAnsi"/>
                <w:b/>
                <w:color w:val="000000"/>
                <w:sz w:val="20"/>
                <w:szCs w:val="20"/>
                <w:lang w:val="en-IN" w:eastAsia="en-IN"/>
              </w:rPr>
              <w:t>KACHERI BAZAR</w:t>
            </w:r>
          </w:p>
        </w:tc>
        <w:tc>
          <w:tcPr>
            <w:tcW w:w="709"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color w:val="000000"/>
                <w:sz w:val="20"/>
                <w:szCs w:val="20"/>
                <w:lang w:val="en-IN" w:eastAsia="en-IN"/>
              </w:rPr>
            </w:pPr>
            <w:r w:rsidRPr="00682822">
              <w:rPr>
                <w:rFonts w:asciiTheme="minorHAnsi" w:hAnsiTheme="minorHAnsi"/>
                <w:color w:val="000000"/>
                <w:sz w:val="20"/>
                <w:szCs w:val="20"/>
                <w:lang w:val="en-IN" w:eastAsia="en-IN"/>
              </w:rPr>
              <w:t>JDCD</w:t>
            </w:r>
          </w:p>
        </w:tc>
        <w:tc>
          <w:tcPr>
            <w:tcW w:w="992"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b/>
                <w:bCs/>
                <w:color w:val="000000"/>
                <w:sz w:val="20"/>
                <w:szCs w:val="20"/>
                <w:lang w:val="en-IN" w:eastAsia="en-IN"/>
              </w:rPr>
            </w:pPr>
            <w:r w:rsidRPr="00682822">
              <w:rPr>
                <w:rFonts w:asciiTheme="minorHAnsi" w:hAnsiTheme="minorHAnsi"/>
                <w:b/>
                <w:bCs/>
                <w:color w:val="000000"/>
                <w:sz w:val="20"/>
                <w:szCs w:val="20"/>
                <w:lang w:val="en-IN" w:eastAsia="en-IN"/>
              </w:rPr>
              <w:t>4</w:t>
            </w:r>
          </w:p>
        </w:tc>
        <w:tc>
          <w:tcPr>
            <w:tcW w:w="709"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b/>
                <w:bCs/>
                <w:color w:val="000000"/>
                <w:sz w:val="20"/>
                <w:szCs w:val="20"/>
                <w:lang w:val="en-IN" w:eastAsia="en-IN"/>
              </w:rPr>
            </w:pPr>
            <w:r>
              <w:rPr>
                <w:rFonts w:asciiTheme="minorHAnsi" w:hAnsiTheme="minorHAnsi"/>
                <w:b/>
                <w:bCs/>
                <w:color w:val="000000"/>
                <w:sz w:val="20"/>
                <w:szCs w:val="20"/>
                <w:lang w:val="en-IN" w:eastAsia="en-IN"/>
              </w:rPr>
              <w:t>85</w:t>
            </w:r>
          </w:p>
        </w:tc>
        <w:tc>
          <w:tcPr>
            <w:tcW w:w="1417"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b/>
                <w:bCs/>
                <w:color w:val="000000"/>
                <w:sz w:val="20"/>
                <w:szCs w:val="20"/>
                <w:lang w:val="en-IN" w:eastAsia="en-IN"/>
              </w:rPr>
            </w:pPr>
            <w:r w:rsidRPr="00682822">
              <w:rPr>
                <w:rFonts w:asciiTheme="minorHAnsi" w:hAnsiTheme="minorHAnsi"/>
                <w:b/>
                <w:bCs/>
                <w:color w:val="000000"/>
                <w:sz w:val="20"/>
                <w:szCs w:val="20"/>
                <w:lang w:val="en-IN" w:eastAsia="en-IN"/>
              </w:rPr>
              <w:t>4499</w:t>
            </w:r>
          </w:p>
        </w:tc>
        <w:tc>
          <w:tcPr>
            <w:tcW w:w="1276"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b/>
                <w:bCs/>
                <w:color w:val="000000"/>
                <w:sz w:val="20"/>
                <w:szCs w:val="20"/>
                <w:lang w:val="en-IN" w:eastAsia="en-IN"/>
              </w:rPr>
            </w:pPr>
            <w:r w:rsidRPr="00682822">
              <w:rPr>
                <w:rFonts w:asciiTheme="minorHAnsi" w:hAnsiTheme="minorHAnsi"/>
                <w:b/>
                <w:bCs/>
                <w:color w:val="000000"/>
                <w:sz w:val="20"/>
                <w:szCs w:val="20"/>
                <w:lang w:val="en-IN" w:eastAsia="en-IN"/>
              </w:rPr>
              <w:t>41%</w:t>
            </w:r>
          </w:p>
        </w:tc>
        <w:tc>
          <w:tcPr>
            <w:tcW w:w="1843"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b/>
                <w:bCs/>
                <w:color w:val="000000"/>
                <w:sz w:val="20"/>
                <w:szCs w:val="20"/>
                <w:lang w:val="en-IN" w:eastAsia="en-IN"/>
              </w:rPr>
            </w:pPr>
            <w:r w:rsidRPr="00682822">
              <w:rPr>
                <w:rFonts w:asciiTheme="minorHAnsi" w:hAnsiTheme="minorHAnsi"/>
                <w:b/>
                <w:bCs/>
                <w:color w:val="000000"/>
                <w:sz w:val="20"/>
                <w:szCs w:val="20"/>
                <w:lang w:val="en-IN" w:eastAsia="en-IN"/>
              </w:rPr>
              <w:t>26%</w:t>
            </w:r>
          </w:p>
        </w:tc>
      </w:tr>
      <w:tr w:rsidR="00784A11" w:rsidRPr="00682822" w:rsidTr="00351C2A">
        <w:trPr>
          <w:trHeight w:val="315"/>
        </w:trPr>
        <w:tc>
          <w:tcPr>
            <w:tcW w:w="817" w:type="dxa"/>
            <w:tcBorders>
              <w:top w:val="nil"/>
              <w:left w:val="single" w:sz="4" w:space="0" w:color="000000"/>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color w:val="000000"/>
                <w:sz w:val="20"/>
                <w:szCs w:val="20"/>
                <w:lang w:val="en-IN" w:eastAsia="en-IN"/>
              </w:rPr>
            </w:pPr>
            <w:r w:rsidRPr="00682822">
              <w:rPr>
                <w:rFonts w:asciiTheme="minorHAnsi" w:hAnsiTheme="minorHAnsi"/>
                <w:color w:val="000000"/>
                <w:sz w:val="20"/>
                <w:szCs w:val="20"/>
                <w:lang w:val="en-IN" w:eastAsia="en-IN"/>
              </w:rPr>
              <w:t>5</w:t>
            </w:r>
          </w:p>
        </w:tc>
        <w:tc>
          <w:tcPr>
            <w:tcW w:w="1701" w:type="dxa"/>
            <w:tcBorders>
              <w:top w:val="nil"/>
              <w:left w:val="nil"/>
              <w:bottom w:val="single" w:sz="4" w:space="0" w:color="000000"/>
              <w:right w:val="single" w:sz="4" w:space="0" w:color="000000"/>
            </w:tcBorders>
            <w:shd w:val="clear" w:color="auto" w:fill="auto"/>
            <w:vAlign w:val="center"/>
            <w:hideMark/>
          </w:tcPr>
          <w:p w:rsidR="00784A11" w:rsidRPr="00261058" w:rsidRDefault="00784A11" w:rsidP="00351C2A">
            <w:pPr>
              <w:jc w:val="center"/>
              <w:rPr>
                <w:rFonts w:asciiTheme="minorHAnsi" w:hAnsiTheme="minorHAnsi"/>
                <w:b/>
                <w:color w:val="000000"/>
                <w:sz w:val="20"/>
                <w:szCs w:val="20"/>
                <w:lang w:val="en-IN" w:eastAsia="en-IN"/>
              </w:rPr>
            </w:pPr>
            <w:r w:rsidRPr="00261058">
              <w:rPr>
                <w:rFonts w:asciiTheme="minorHAnsi" w:hAnsiTheme="minorHAnsi"/>
                <w:b/>
                <w:color w:val="000000"/>
                <w:sz w:val="20"/>
                <w:szCs w:val="20"/>
                <w:lang w:val="en-IN" w:eastAsia="en-IN"/>
              </w:rPr>
              <w:t>MATHASAHI</w:t>
            </w:r>
          </w:p>
        </w:tc>
        <w:tc>
          <w:tcPr>
            <w:tcW w:w="709"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color w:val="000000"/>
                <w:sz w:val="20"/>
                <w:szCs w:val="20"/>
                <w:lang w:val="en-IN" w:eastAsia="en-IN"/>
              </w:rPr>
            </w:pPr>
            <w:r w:rsidRPr="00682822">
              <w:rPr>
                <w:rFonts w:asciiTheme="minorHAnsi" w:hAnsiTheme="minorHAnsi"/>
                <w:color w:val="000000"/>
                <w:sz w:val="20"/>
                <w:szCs w:val="20"/>
                <w:lang w:val="en-IN" w:eastAsia="en-IN"/>
              </w:rPr>
              <w:t>JDCE</w:t>
            </w:r>
          </w:p>
        </w:tc>
        <w:tc>
          <w:tcPr>
            <w:tcW w:w="992"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b/>
                <w:bCs/>
                <w:color w:val="000000"/>
                <w:sz w:val="20"/>
                <w:szCs w:val="20"/>
                <w:lang w:val="en-IN" w:eastAsia="en-IN"/>
              </w:rPr>
            </w:pPr>
            <w:r w:rsidRPr="00682822">
              <w:rPr>
                <w:rFonts w:asciiTheme="minorHAnsi" w:hAnsiTheme="minorHAnsi"/>
                <w:b/>
                <w:bCs/>
                <w:color w:val="000000"/>
                <w:sz w:val="20"/>
                <w:szCs w:val="20"/>
                <w:lang w:val="en-IN" w:eastAsia="en-IN"/>
              </w:rPr>
              <w:t>4.5</w:t>
            </w:r>
          </w:p>
        </w:tc>
        <w:tc>
          <w:tcPr>
            <w:tcW w:w="709"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b/>
                <w:bCs/>
                <w:color w:val="000000"/>
                <w:sz w:val="20"/>
                <w:szCs w:val="20"/>
                <w:lang w:val="en-IN" w:eastAsia="en-IN"/>
              </w:rPr>
            </w:pPr>
            <w:r>
              <w:rPr>
                <w:rFonts w:asciiTheme="minorHAnsi" w:hAnsiTheme="minorHAnsi"/>
                <w:b/>
                <w:bCs/>
                <w:color w:val="000000"/>
                <w:sz w:val="20"/>
                <w:szCs w:val="20"/>
                <w:lang w:val="en-IN" w:eastAsia="en-IN"/>
              </w:rPr>
              <w:t>77</w:t>
            </w:r>
          </w:p>
        </w:tc>
        <w:tc>
          <w:tcPr>
            <w:tcW w:w="1417"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b/>
                <w:bCs/>
                <w:color w:val="000000"/>
                <w:sz w:val="20"/>
                <w:szCs w:val="20"/>
                <w:lang w:val="en-IN" w:eastAsia="en-IN"/>
              </w:rPr>
            </w:pPr>
            <w:r w:rsidRPr="00682822">
              <w:rPr>
                <w:rFonts w:asciiTheme="minorHAnsi" w:hAnsiTheme="minorHAnsi"/>
                <w:b/>
                <w:bCs/>
                <w:color w:val="000000"/>
                <w:sz w:val="20"/>
                <w:szCs w:val="20"/>
                <w:lang w:val="en-IN" w:eastAsia="en-IN"/>
              </w:rPr>
              <w:t>1431</w:t>
            </w:r>
          </w:p>
        </w:tc>
        <w:tc>
          <w:tcPr>
            <w:tcW w:w="1276"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b/>
                <w:bCs/>
                <w:color w:val="000000"/>
                <w:sz w:val="20"/>
                <w:szCs w:val="20"/>
                <w:lang w:val="en-IN" w:eastAsia="en-IN"/>
              </w:rPr>
            </w:pPr>
            <w:r w:rsidRPr="00682822">
              <w:rPr>
                <w:rFonts w:asciiTheme="minorHAnsi" w:hAnsiTheme="minorHAnsi"/>
                <w:b/>
                <w:bCs/>
                <w:color w:val="000000"/>
                <w:sz w:val="20"/>
                <w:szCs w:val="20"/>
                <w:lang w:val="en-IN" w:eastAsia="en-IN"/>
              </w:rPr>
              <w:t>46%</w:t>
            </w:r>
          </w:p>
        </w:tc>
        <w:tc>
          <w:tcPr>
            <w:tcW w:w="1843"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b/>
                <w:bCs/>
                <w:color w:val="000000"/>
                <w:sz w:val="20"/>
                <w:szCs w:val="20"/>
                <w:lang w:val="en-IN" w:eastAsia="en-IN"/>
              </w:rPr>
            </w:pPr>
            <w:r w:rsidRPr="00682822">
              <w:rPr>
                <w:rFonts w:asciiTheme="minorHAnsi" w:hAnsiTheme="minorHAnsi"/>
                <w:b/>
                <w:bCs/>
                <w:color w:val="000000"/>
                <w:sz w:val="20"/>
                <w:szCs w:val="20"/>
                <w:lang w:val="en-IN" w:eastAsia="en-IN"/>
              </w:rPr>
              <w:t>31%</w:t>
            </w:r>
          </w:p>
        </w:tc>
      </w:tr>
      <w:tr w:rsidR="00784A11" w:rsidRPr="00682822" w:rsidTr="00351C2A">
        <w:trPr>
          <w:trHeight w:val="630"/>
        </w:trPr>
        <w:tc>
          <w:tcPr>
            <w:tcW w:w="817" w:type="dxa"/>
            <w:tcBorders>
              <w:top w:val="nil"/>
              <w:left w:val="single" w:sz="4" w:space="0" w:color="000000"/>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color w:val="000000"/>
                <w:sz w:val="20"/>
                <w:szCs w:val="20"/>
                <w:lang w:val="en-IN" w:eastAsia="en-IN"/>
              </w:rPr>
            </w:pPr>
            <w:r w:rsidRPr="00682822">
              <w:rPr>
                <w:rFonts w:asciiTheme="minorHAnsi" w:hAnsiTheme="minorHAnsi"/>
                <w:color w:val="000000"/>
                <w:sz w:val="20"/>
                <w:szCs w:val="20"/>
                <w:lang w:val="en-IN" w:eastAsia="en-IN"/>
              </w:rPr>
              <w:t>6</w:t>
            </w:r>
          </w:p>
        </w:tc>
        <w:tc>
          <w:tcPr>
            <w:tcW w:w="1701" w:type="dxa"/>
            <w:tcBorders>
              <w:top w:val="nil"/>
              <w:left w:val="nil"/>
              <w:bottom w:val="single" w:sz="4" w:space="0" w:color="000000"/>
              <w:right w:val="single" w:sz="4" w:space="0" w:color="000000"/>
            </w:tcBorders>
            <w:shd w:val="clear" w:color="auto" w:fill="auto"/>
            <w:vAlign w:val="center"/>
            <w:hideMark/>
          </w:tcPr>
          <w:p w:rsidR="00784A11" w:rsidRPr="00261058" w:rsidRDefault="00784A11" w:rsidP="00351C2A">
            <w:pPr>
              <w:jc w:val="center"/>
              <w:rPr>
                <w:rFonts w:asciiTheme="minorHAnsi" w:hAnsiTheme="minorHAnsi"/>
                <w:b/>
                <w:color w:val="000000"/>
                <w:sz w:val="20"/>
                <w:szCs w:val="20"/>
                <w:lang w:val="en-IN" w:eastAsia="en-IN"/>
              </w:rPr>
            </w:pPr>
            <w:r w:rsidRPr="00261058">
              <w:rPr>
                <w:rFonts w:asciiTheme="minorHAnsi" w:hAnsiTheme="minorHAnsi"/>
                <w:b/>
                <w:color w:val="000000"/>
                <w:sz w:val="20"/>
                <w:szCs w:val="20"/>
                <w:lang w:val="en-IN" w:eastAsia="en-IN"/>
              </w:rPr>
              <w:t>KANTABANIA</w:t>
            </w:r>
          </w:p>
        </w:tc>
        <w:tc>
          <w:tcPr>
            <w:tcW w:w="709"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color w:val="000000"/>
                <w:sz w:val="20"/>
                <w:szCs w:val="20"/>
                <w:lang w:val="en-IN" w:eastAsia="en-IN"/>
              </w:rPr>
            </w:pPr>
            <w:r w:rsidRPr="00682822">
              <w:rPr>
                <w:rFonts w:asciiTheme="minorHAnsi" w:hAnsiTheme="minorHAnsi"/>
                <w:color w:val="000000"/>
                <w:sz w:val="20"/>
                <w:szCs w:val="20"/>
                <w:lang w:val="en-IN" w:eastAsia="en-IN"/>
              </w:rPr>
              <w:t>JDCF</w:t>
            </w:r>
          </w:p>
        </w:tc>
        <w:tc>
          <w:tcPr>
            <w:tcW w:w="992"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b/>
                <w:bCs/>
                <w:color w:val="000000"/>
                <w:sz w:val="20"/>
                <w:szCs w:val="20"/>
                <w:lang w:val="en-IN" w:eastAsia="en-IN"/>
              </w:rPr>
            </w:pPr>
            <w:r w:rsidRPr="00682822">
              <w:rPr>
                <w:rFonts w:asciiTheme="minorHAnsi" w:hAnsiTheme="minorHAnsi"/>
                <w:b/>
                <w:bCs/>
                <w:color w:val="000000"/>
                <w:sz w:val="20"/>
                <w:szCs w:val="20"/>
                <w:lang w:val="en-IN" w:eastAsia="en-IN"/>
              </w:rPr>
              <w:t>7</w:t>
            </w:r>
          </w:p>
        </w:tc>
        <w:tc>
          <w:tcPr>
            <w:tcW w:w="709"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b/>
                <w:bCs/>
                <w:color w:val="000000"/>
                <w:sz w:val="20"/>
                <w:szCs w:val="20"/>
                <w:lang w:val="en-IN" w:eastAsia="en-IN"/>
              </w:rPr>
            </w:pPr>
            <w:r>
              <w:rPr>
                <w:rFonts w:asciiTheme="minorHAnsi" w:hAnsiTheme="minorHAnsi"/>
                <w:b/>
                <w:bCs/>
                <w:color w:val="000000"/>
                <w:sz w:val="20"/>
                <w:szCs w:val="20"/>
                <w:lang w:val="en-IN" w:eastAsia="en-IN"/>
              </w:rPr>
              <w:t>42</w:t>
            </w:r>
          </w:p>
        </w:tc>
        <w:tc>
          <w:tcPr>
            <w:tcW w:w="1417"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b/>
                <w:bCs/>
                <w:color w:val="000000"/>
                <w:sz w:val="20"/>
                <w:szCs w:val="20"/>
                <w:lang w:val="en-IN" w:eastAsia="en-IN"/>
              </w:rPr>
            </w:pPr>
            <w:r w:rsidRPr="00682822">
              <w:rPr>
                <w:rFonts w:asciiTheme="minorHAnsi" w:hAnsiTheme="minorHAnsi"/>
                <w:b/>
                <w:bCs/>
                <w:color w:val="000000"/>
                <w:sz w:val="20"/>
                <w:szCs w:val="20"/>
                <w:lang w:val="en-IN" w:eastAsia="en-IN"/>
              </w:rPr>
              <w:t>1758</w:t>
            </w:r>
          </w:p>
        </w:tc>
        <w:tc>
          <w:tcPr>
            <w:tcW w:w="1276"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b/>
                <w:bCs/>
                <w:color w:val="000000"/>
                <w:sz w:val="20"/>
                <w:szCs w:val="20"/>
                <w:lang w:val="en-IN" w:eastAsia="en-IN"/>
              </w:rPr>
            </w:pPr>
            <w:r w:rsidRPr="00682822">
              <w:rPr>
                <w:rFonts w:asciiTheme="minorHAnsi" w:hAnsiTheme="minorHAnsi"/>
                <w:b/>
                <w:bCs/>
                <w:color w:val="000000"/>
                <w:sz w:val="20"/>
                <w:szCs w:val="20"/>
                <w:lang w:val="en-IN" w:eastAsia="en-IN"/>
              </w:rPr>
              <w:t>53%</w:t>
            </w:r>
          </w:p>
        </w:tc>
        <w:tc>
          <w:tcPr>
            <w:tcW w:w="1843" w:type="dxa"/>
            <w:tcBorders>
              <w:top w:val="nil"/>
              <w:left w:val="nil"/>
              <w:bottom w:val="single" w:sz="4" w:space="0" w:color="000000"/>
              <w:right w:val="single" w:sz="4" w:space="0" w:color="000000"/>
            </w:tcBorders>
            <w:shd w:val="clear" w:color="auto" w:fill="auto"/>
            <w:vAlign w:val="center"/>
            <w:hideMark/>
          </w:tcPr>
          <w:p w:rsidR="00784A11" w:rsidRPr="00682822" w:rsidRDefault="00784A11" w:rsidP="00351C2A">
            <w:pPr>
              <w:jc w:val="center"/>
              <w:rPr>
                <w:rFonts w:asciiTheme="minorHAnsi" w:hAnsiTheme="minorHAnsi"/>
                <w:b/>
                <w:bCs/>
                <w:color w:val="000000"/>
                <w:sz w:val="20"/>
                <w:szCs w:val="20"/>
                <w:lang w:val="en-IN" w:eastAsia="en-IN"/>
              </w:rPr>
            </w:pPr>
            <w:r w:rsidRPr="00682822">
              <w:rPr>
                <w:rFonts w:asciiTheme="minorHAnsi" w:hAnsiTheme="minorHAnsi"/>
                <w:b/>
                <w:bCs/>
                <w:color w:val="000000"/>
                <w:sz w:val="20"/>
                <w:szCs w:val="20"/>
                <w:lang w:val="en-IN" w:eastAsia="en-IN"/>
              </w:rPr>
              <w:t>38%</w:t>
            </w:r>
          </w:p>
        </w:tc>
      </w:tr>
    </w:tbl>
    <w:p w:rsidR="00784A11" w:rsidRPr="00682822" w:rsidRDefault="00784A11" w:rsidP="00784A11">
      <w:pPr>
        <w:spacing w:line="360" w:lineRule="auto"/>
        <w:jc w:val="both"/>
        <w:rPr>
          <w:rFonts w:asciiTheme="minorHAnsi" w:hAnsiTheme="minorHAnsi"/>
          <w:sz w:val="20"/>
          <w:szCs w:val="20"/>
        </w:rPr>
      </w:pPr>
    </w:p>
    <w:p w:rsidR="00784A11" w:rsidRDefault="00784A11" w:rsidP="00345D14">
      <w:pPr>
        <w:pStyle w:val="BodyText2"/>
        <w:spacing w:line="360" w:lineRule="auto"/>
        <w:jc w:val="both"/>
        <w:rPr>
          <w:rFonts w:ascii="Cambria" w:hAnsi="Cambria" w:cs="Arial"/>
          <w:sz w:val="24"/>
          <w:szCs w:val="24"/>
          <w:lang w:val="en-GB"/>
        </w:rPr>
      </w:pPr>
      <w:r w:rsidRPr="00345D14">
        <w:rPr>
          <w:rFonts w:ascii="Cambria" w:hAnsi="Cambria" w:cs="Arial"/>
          <w:sz w:val="24"/>
          <w:szCs w:val="24"/>
          <w:lang w:val="en-GB"/>
        </w:rPr>
        <w:t>After successful completion of energy audit activities on 8nos of 11KV feeders on pilot basis, we have extended to all Divisions on the principle of one no of 33/11KV Sub Station per Division.</w:t>
      </w:r>
    </w:p>
    <w:p w:rsidR="00014982" w:rsidRPr="00345D14" w:rsidRDefault="00014982" w:rsidP="00345D14">
      <w:pPr>
        <w:pStyle w:val="BodyText2"/>
        <w:spacing w:line="360" w:lineRule="auto"/>
        <w:jc w:val="both"/>
        <w:rPr>
          <w:rFonts w:ascii="Cambria" w:hAnsi="Cambria" w:cs="Arial"/>
          <w:sz w:val="24"/>
          <w:szCs w:val="24"/>
          <w:lang w:val="en-GB"/>
        </w:rPr>
      </w:pPr>
    </w:p>
    <w:tbl>
      <w:tblPr>
        <w:tblW w:w="9420" w:type="dxa"/>
        <w:tblInd w:w="93" w:type="dxa"/>
        <w:tblLook w:val="04A0"/>
      </w:tblPr>
      <w:tblGrid>
        <w:gridCol w:w="520"/>
        <w:gridCol w:w="1721"/>
        <w:gridCol w:w="1720"/>
        <w:gridCol w:w="1924"/>
        <w:gridCol w:w="1160"/>
        <w:gridCol w:w="1380"/>
        <w:gridCol w:w="996"/>
      </w:tblGrid>
      <w:tr w:rsidR="00784A11" w:rsidRPr="00224313" w:rsidTr="00351C2A">
        <w:trPr>
          <w:trHeight w:val="375"/>
        </w:trPr>
        <w:tc>
          <w:tcPr>
            <w:tcW w:w="9420" w:type="dxa"/>
            <w:gridSpan w:val="7"/>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84A11" w:rsidRPr="00224313" w:rsidRDefault="00784A11" w:rsidP="00351C2A">
            <w:pPr>
              <w:jc w:val="both"/>
              <w:rPr>
                <w:rFonts w:ascii="Arial Narrow" w:hAnsi="Arial Narrow"/>
                <w:b/>
                <w:bCs/>
                <w:color w:val="000000" w:themeColor="text1"/>
                <w:sz w:val="28"/>
                <w:szCs w:val="28"/>
                <w:u w:val="single"/>
              </w:rPr>
            </w:pPr>
            <w:r w:rsidRPr="00224313">
              <w:rPr>
                <w:rFonts w:ascii="Arial Narrow" w:hAnsi="Arial Narrow"/>
                <w:b/>
                <w:bCs/>
                <w:color w:val="000000" w:themeColor="text1"/>
                <w:sz w:val="28"/>
                <w:szCs w:val="28"/>
                <w:u w:val="single"/>
              </w:rPr>
              <w:t>ACTION PLAN FOR 11KV FEEDER ENERGY AUDIT</w:t>
            </w:r>
          </w:p>
        </w:tc>
      </w:tr>
      <w:tr w:rsidR="00784A11" w:rsidRPr="00224313" w:rsidTr="00351C2A">
        <w:trPr>
          <w:trHeight w:val="9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16"/>
                <w:szCs w:val="16"/>
              </w:rPr>
            </w:pPr>
            <w:r w:rsidRPr="00224313">
              <w:rPr>
                <w:rFonts w:ascii="Arial Narrow" w:hAnsi="Arial Narrow"/>
                <w:color w:val="000000" w:themeColor="text1"/>
                <w:sz w:val="16"/>
                <w:szCs w:val="16"/>
              </w:rPr>
              <w:t>SL NO</w:t>
            </w:r>
          </w:p>
        </w:tc>
        <w:tc>
          <w:tcPr>
            <w:tcW w:w="174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16"/>
                <w:szCs w:val="16"/>
              </w:rPr>
            </w:pPr>
            <w:r w:rsidRPr="00224313">
              <w:rPr>
                <w:rFonts w:ascii="Arial Narrow" w:hAnsi="Arial Narrow"/>
                <w:color w:val="000000" w:themeColor="text1"/>
                <w:sz w:val="16"/>
                <w:szCs w:val="16"/>
              </w:rPr>
              <w:t>NAME OF DIVISION</w:t>
            </w:r>
          </w:p>
        </w:tc>
        <w:tc>
          <w:tcPr>
            <w:tcW w:w="172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16"/>
                <w:szCs w:val="16"/>
              </w:rPr>
            </w:pPr>
            <w:r w:rsidRPr="00224313">
              <w:rPr>
                <w:rFonts w:ascii="Arial Narrow" w:hAnsi="Arial Narrow"/>
                <w:color w:val="000000" w:themeColor="text1"/>
                <w:sz w:val="16"/>
                <w:szCs w:val="16"/>
              </w:rPr>
              <w:t>NAME OF 33/11KV S/S</w:t>
            </w: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16"/>
                <w:szCs w:val="16"/>
              </w:rPr>
            </w:pPr>
            <w:r w:rsidRPr="00224313">
              <w:rPr>
                <w:rFonts w:ascii="Arial Narrow" w:hAnsi="Arial Narrow"/>
                <w:color w:val="000000" w:themeColor="text1"/>
                <w:sz w:val="16"/>
                <w:szCs w:val="16"/>
              </w:rPr>
              <w:t>NAME OF 11KV FEEDERS</w:t>
            </w:r>
          </w:p>
        </w:tc>
        <w:tc>
          <w:tcPr>
            <w:tcW w:w="1160" w:type="dxa"/>
            <w:tcBorders>
              <w:top w:val="nil"/>
              <w:left w:val="nil"/>
              <w:bottom w:val="nil"/>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16"/>
                <w:szCs w:val="16"/>
              </w:rPr>
            </w:pPr>
            <w:r w:rsidRPr="00224313">
              <w:rPr>
                <w:rFonts w:ascii="Arial Narrow" w:hAnsi="Arial Narrow"/>
                <w:color w:val="000000" w:themeColor="text1"/>
                <w:sz w:val="16"/>
                <w:szCs w:val="16"/>
              </w:rPr>
              <w:t>PRESENT LOSS LEVEL</w:t>
            </w:r>
          </w:p>
        </w:tc>
        <w:tc>
          <w:tcPr>
            <w:tcW w:w="1380" w:type="dxa"/>
            <w:tcBorders>
              <w:top w:val="nil"/>
              <w:left w:val="nil"/>
              <w:bottom w:val="nil"/>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16"/>
                <w:szCs w:val="16"/>
              </w:rPr>
            </w:pPr>
            <w:r w:rsidRPr="00224313">
              <w:rPr>
                <w:rFonts w:ascii="Arial Narrow" w:hAnsi="Arial Narrow"/>
                <w:color w:val="000000" w:themeColor="text1"/>
                <w:sz w:val="16"/>
                <w:szCs w:val="16"/>
              </w:rPr>
              <w:t>TARGET LOSS REDUCTION LEVEL</w:t>
            </w:r>
          </w:p>
        </w:tc>
        <w:tc>
          <w:tcPr>
            <w:tcW w:w="920" w:type="dxa"/>
            <w:tcBorders>
              <w:top w:val="nil"/>
              <w:left w:val="nil"/>
              <w:bottom w:val="nil"/>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16"/>
                <w:szCs w:val="16"/>
              </w:rPr>
            </w:pPr>
            <w:r w:rsidRPr="00224313">
              <w:rPr>
                <w:rFonts w:ascii="Arial Narrow" w:hAnsi="Arial Narrow"/>
                <w:color w:val="000000" w:themeColor="text1"/>
                <w:sz w:val="16"/>
                <w:szCs w:val="16"/>
              </w:rPr>
              <w:t>% LOSS REDUCTION</w:t>
            </w:r>
          </w:p>
        </w:tc>
      </w:tr>
      <w:tr w:rsidR="00784A11" w:rsidRPr="00224313" w:rsidTr="00351C2A">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1</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JTED, JAJPUR TOWN</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BASANTIPADIA</w:t>
            </w: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AHIYAS</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59%</w:t>
            </w:r>
          </w:p>
        </w:tc>
        <w:tc>
          <w:tcPr>
            <w:tcW w:w="1380" w:type="dxa"/>
            <w:tcBorders>
              <w:top w:val="single" w:sz="4" w:space="0" w:color="auto"/>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29%</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BAISPAN</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59%</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29%</w:t>
            </w:r>
          </w:p>
        </w:tc>
      </w:tr>
      <w:tr w:rsidR="00784A11" w:rsidRPr="00224313" w:rsidTr="00351C2A">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JRED, JAJPUR ROAD</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HARIPUR</w:t>
            </w: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AMPOLBA</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67%</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37%</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JAMPOSI</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57%</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27%</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KHARADI</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67%</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37%</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PINGALA</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67%</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37%</w:t>
            </w:r>
          </w:p>
        </w:tc>
      </w:tr>
      <w:tr w:rsidR="00784A11" w:rsidRPr="00224313" w:rsidTr="00351C2A">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KUED, KUAKHIA</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BARABATI</w:t>
            </w: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BARABATI BAZAR</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44%</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25%</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19%</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SINGAPUR</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52%</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22%</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 xml:space="preserve">GOPALPUR </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52%</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22%</w:t>
            </w:r>
          </w:p>
        </w:tc>
      </w:tr>
      <w:tr w:rsidR="00784A11" w:rsidRPr="00224313" w:rsidTr="00351C2A">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4</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BNED, BHADRAK</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KUNDIBAG</w:t>
            </w: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HARISHAKARPUR</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46%</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25%</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21%</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NACHIPUR</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46%</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25%</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21%</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BANARANGA</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46%</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25%</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21%</w:t>
            </w:r>
          </w:p>
        </w:tc>
      </w:tr>
      <w:tr w:rsidR="00784A11" w:rsidRPr="00224313" w:rsidTr="00351C2A">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5</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BSED, BHADRAK</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MANJURI ROAD</w:t>
            </w: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MANJURI ROAD</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37%</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17%</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KOTSIRA</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37%</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17%</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KULANA</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37%</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17%</w:t>
            </w:r>
          </w:p>
        </w:tc>
      </w:tr>
      <w:tr w:rsidR="00784A11" w:rsidRPr="00224313" w:rsidTr="00351C2A">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6</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JOED, JODA</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UKHUNDA</w:t>
            </w: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UKHUNDA</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38%</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18%</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BALA</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38%</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18%</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ASANAPT</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38%</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18%</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BAUNSULI</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38%</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18%</w:t>
            </w:r>
          </w:p>
        </w:tc>
      </w:tr>
      <w:tr w:rsidR="00784A11" w:rsidRPr="00224313" w:rsidTr="00351C2A">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lastRenderedPageBreak/>
              <w:t>7</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KED, KEONJHAR</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NARANPUR</w:t>
            </w: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NARANPUR</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35%</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15%</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SANKARPUR</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35%</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15%</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GOPALPUR</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38%</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18%</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JANGHIRA NEW</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38%</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18%</w:t>
            </w:r>
          </w:p>
        </w:tc>
      </w:tr>
      <w:tr w:rsidR="00784A11" w:rsidRPr="00224313" w:rsidTr="00351C2A">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8</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AED, ANANDAPUR</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CHENAPADI</w:t>
            </w: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CHENAPADAI</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60%</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HATADIHI</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60%</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MUGUPUR</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60%</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BANCHO</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60%</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r>
      <w:tr w:rsidR="00784A11" w:rsidRPr="00224313" w:rsidTr="00351C2A">
        <w:trPr>
          <w:trHeight w:val="33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9</w:t>
            </w:r>
          </w:p>
        </w:tc>
        <w:tc>
          <w:tcPr>
            <w:tcW w:w="174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BED, BALASORE</w:t>
            </w:r>
          </w:p>
        </w:tc>
        <w:tc>
          <w:tcPr>
            <w:tcW w:w="172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DIGARANIA</w:t>
            </w: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RANASAHI</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59%</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29%</w:t>
            </w:r>
          </w:p>
        </w:tc>
      </w:tr>
      <w:tr w:rsidR="00784A11" w:rsidRPr="00224313" w:rsidTr="00351C2A">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10</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CED, BALASORE</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RASALPUR</w:t>
            </w: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RASALPUR MARKET</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45%</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15%</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BHIMPUR</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45%</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15%</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BARDHANPUR</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45%</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15%</w:t>
            </w:r>
          </w:p>
        </w:tc>
      </w:tr>
      <w:tr w:rsidR="00784A11" w:rsidRPr="00224313" w:rsidTr="00351C2A">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11</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BTED, BASTA</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SIMILIA</w:t>
            </w: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KHAPARAPADA</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53%</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23%</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MACHHARANKA</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53%</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23%</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SITADIHA</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53%</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23%</w:t>
            </w:r>
          </w:p>
        </w:tc>
      </w:tr>
      <w:tr w:rsidR="00784A11" w:rsidRPr="00224313" w:rsidTr="00351C2A">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12</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JED, JALESWAR</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SHYAMNAGAR</w:t>
            </w: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KHUADA</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58%</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28%</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CHUDAMANIPUR</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64%</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34%</w:t>
            </w:r>
          </w:p>
        </w:tc>
      </w:tr>
      <w:tr w:rsidR="00784A11" w:rsidRPr="00224313" w:rsidTr="00351C2A">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13</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SED, SORO</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BISHNUPUR</w:t>
            </w: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NEW BISHNUPUR</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55%</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25%</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BAJANA</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54%</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24%</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ALADA</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54%</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24%</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ANJI</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54%</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24%</w:t>
            </w:r>
          </w:p>
        </w:tc>
      </w:tr>
      <w:tr w:rsidR="00784A11" w:rsidRPr="00224313" w:rsidTr="00351C2A">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14</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BPED, BARIPADA</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AMBADALI</w:t>
            </w: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DANTUNI</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42%</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25%</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17%</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AMBADALI</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42%</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25%</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17%</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KHANUA</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42%</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25%</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17%</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PRATAPUR</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42%</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25%</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17%</w:t>
            </w:r>
          </w:p>
        </w:tc>
      </w:tr>
      <w:tr w:rsidR="00784A11" w:rsidRPr="00224313" w:rsidTr="00351C2A">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15</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RED, RAIRANGPUR</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ANGARPADA</w:t>
            </w: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ANGARPADA</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50%</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20%</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RARUAN</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50%</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20%</w:t>
            </w:r>
          </w:p>
        </w:tc>
      </w:tr>
      <w:tr w:rsidR="00784A11" w:rsidRPr="00224313" w:rsidTr="00351C2A">
        <w:trPr>
          <w:trHeight w:val="33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16</w:t>
            </w:r>
          </w:p>
        </w:tc>
        <w:tc>
          <w:tcPr>
            <w:tcW w:w="174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UED, UDALA</w:t>
            </w:r>
          </w:p>
        </w:tc>
        <w:tc>
          <w:tcPr>
            <w:tcW w:w="1720" w:type="dxa"/>
            <w:vMerge w:val="restart"/>
            <w:tcBorders>
              <w:top w:val="nil"/>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NUDHUDIHA</w:t>
            </w: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SALAMUNDULI</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52%</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22%</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TALIA</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52%</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22%</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PADADIHA</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52%</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22%</w:t>
            </w:r>
          </w:p>
        </w:tc>
      </w:tr>
      <w:tr w:rsidR="00784A11" w:rsidRPr="00224313" w:rsidTr="00351C2A">
        <w:trPr>
          <w:trHeight w:val="330"/>
        </w:trPr>
        <w:tc>
          <w:tcPr>
            <w:tcW w:w="5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4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720" w:type="dxa"/>
            <w:vMerge/>
            <w:tcBorders>
              <w:top w:val="nil"/>
              <w:left w:val="single" w:sz="4" w:space="0" w:color="auto"/>
              <w:bottom w:val="single" w:sz="4" w:space="0" w:color="auto"/>
              <w:right w:val="single" w:sz="4" w:space="0" w:color="auto"/>
            </w:tcBorders>
            <w:vAlign w:val="center"/>
            <w:hideMark/>
          </w:tcPr>
          <w:p w:rsidR="00784A11" w:rsidRPr="00224313" w:rsidRDefault="00784A11" w:rsidP="00351C2A">
            <w:pPr>
              <w:jc w:val="both"/>
              <w:rPr>
                <w:rFonts w:ascii="Arial Narrow" w:hAnsi="Arial Narrow"/>
                <w:color w:val="000000" w:themeColor="text1"/>
                <w:sz w:val="20"/>
                <w:szCs w:val="20"/>
              </w:rPr>
            </w:pP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BAHUBANDHA</w:t>
            </w:r>
          </w:p>
        </w:tc>
        <w:tc>
          <w:tcPr>
            <w:tcW w:w="116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52%</w:t>
            </w:r>
          </w:p>
        </w:tc>
        <w:tc>
          <w:tcPr>
            <w:tcW w:w="138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30%</w:t>
            </w:r>
          </w:p>
        </w:tc>
        <w:tc>
          <w:tcPr>
            <w:tcW w:w="920" w:type="dxa"/>
            <w:tcBorders>
              <w:top w:val="nil"/>
              <w:left w:val="nil"/>
              <w:bottom w:val="single" w:sz="4" w:space="0" w:color="auto"/>
              <w:right w:val="single" w:sz="4" w:space="0" w:color="auto"/>
            </w:tcBorders>
            <w:shd w:val="clear" w:color="auto" w:fill="auto"/>
            <w:noWrap/>
            <w:vAlign w:val="center"/>
            <w:hideMark/>
          </w:tcPr>
          <w:p w:rsidR="00784A11" w:rsidRPr="00224313" w:rsidRDefault="00784A11" w:rsidP="00351C2A">
            <w:pPr>
              <w:jc w:val="both"/>
              <w:rPr>
                <w:rFonts w:ascii="Arial Narrow" w:hAnsi="Arial Narrow"/>
                <w:color w:val="000000" w:themeColor="text1"/>
                <w:sz w:val="20"/>
                <w:szCs w:val="20"/>
              </w:rPr>
            </w:pPr>
            <w:r w:rsidRPr="00224313">
              <w:rPr>
                <w:rFonts w:ascii="Arial Narrow" w:hAnsi="Arial Narrow"/>
                <w:color w:val="000000" w:themeColor="text1"/>
                <w:sz w:val="20"/>
                <w:szCs w:val="20"/>
              </w:rPr>
              <w:t>22%</w:t>
            </w:r>
          </w:p>
        </w:tc>
      </w:tr>
      <w:tr w:rsidR="00784A11" w:rsidRPr="00224313" w:rsidTr="00351C2A">
        <w:trPr>
          <w:trHeight w:val="330"/>
        </w:trPr>
        <w:tc>
          <w:tcPr>
            <w:tcW w:w="39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b/>
                <w:bCs/>
                <w:color w:val="000000" w:themeColor="text1"/>
                <w:sz w:val="20"/>
                <w:szCs w:val="20"/>
              </w:rPr>
            </w:pPr>
            <w:r w:rsidRPr="00224313">
              <w:rPr>
                <w:rFonts w:ascii="Arial Narrow" w:hAnsi="Arial Narrow"/>
                <w:b/>
                <w:bCs/>
                <w:color w:val="000000" w:themeColor="text1"/>
                <w:sz w:val="20"/>
                <w:szCs w:val="20"/>
              </w:rPr>
              <w:t>TOTAL</w:t>
            </w:r>
          </w:p>
        </w:tc>
        <w:tc>
          <w:tcPr>
            <w:tcW w:w="19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b/>
                <w:bCs/>
                <w:color w:val="000000" w:themeColor="text1"/>
                <w:sz w:val="20"/>
                <w:szCs w:val="20"/>
              </w:rPr>
            </w:pPr>
            <w:r w:rsidRPr="00224313">
              <w:rPr>
                <w:rFonts w:ascii="Arial Narrow" w:hAnsi="Arial Narrow"/>
                <w:b/>
                <w:bCs/>
                <w:color w:val="000000" w:themeColor="text1"/>
                <w:sz w:val="20"/>
                <w:szCs w:val="20"/>
              </w:rPr>
              <w:t>50</w:t>
            </w:r>
          </w:p>
        </w:tc>
        <w:tc>
          <w:tcPr>
            <w:tcW w:w="116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b/>
                <w:bCs/>
                <w:color w:val="000000" w:themeColor="text1"/>
                <w:sz w:val="20"/>
                <w:szCs w:val="20"/>
              </w:rPr>
            </w:pPr>
            <w:r w:rsidRPr="00224313">
              <w:rPr>
                <w:rFonts w:ascii="Arial Narrow" w:hAnsi="Arial Narrow"/>
                <w:b/>
                <w:bCs/>
                <w:color w:val="000000" w:themeColor="text1"/>
                <w:sz w:val="20"/>
                <w:szCs w:val="20"/>
              </w:rPr>
              <w:t>50%</w:t>
            </w:r>
          </w:p>
        </w:tc>
        <w:tc>
          <w:tcPr>
            <w:tcW w:w="138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b/>
                <w:bCs/>
                <w:color w:val="000000" w:themeColor="text1"/>
                <w:sz w:val="20"/>
                <w:szCs w:val="20"/>
              </w:rPr>
            </w:pPr>
            <w:r w:rsidRPr="00224313">
              <w:rPr>
                <w:rFonts w:ascii="Arial Narrow" w:hAnsi="Arial Narrow"/>
                <w:b/>
                <w:bCs/>
                <w:color w:val="000000" w:themeColor="text1"/>
                <w:sz w:val="20"/>
                <w:szCs w:val="20"/>
              </w:rPr>
              <w:t>27%</w:t>
            </w:r>
          </w:p>
        </w:tc>
        <w:tc>
          <w:tcPr>
            <w:tcW w:w="920" w:type="dxa"/>
            <w:tcBorders>
              <w:top w:val="nil"/>
              <w:left w:val="nil"/>
              <w:bottom w:val="single" w:sz="4" w:space="0" w:color="auto"/>
              <w:right w:val="single" w:sz="4" w:space="0" w:color="auto"/>
            </w:tcBorders>
            <w:shd w:val="clear" w:color="auto" w:fill="auto"/>
            <w:vAlign w:val="center"/>
            <w:hideMark/>
          </w:tcPr>
          <w:p w:rsidR="00784A11" w:rsidRPr="00224313" w:rsidRDefault="00784A11" w:rsidP="00351C2A">
            <w:pPr>
              <w:jc w:val="both"/>
              <w:rPr>
                <w:rFonts w:ascii="Arial Narrow" w:hAnsi="Arial Narrow"/>
                <w:b/>
                <w:bCs/>
                <w:color w:val="000000" w:themeColor="text1"/>
                <w:sz w:val="20"/>
                <w:szCs w:val="20"/>
              </w:rPr>
            </w:pPr>
            <w:r w:rsidRPr="00224313">
              <w:rPr>
                <w:rFonts w:ascii="Arial Narrow" w:hAnsi="Arial Narrow"/>
                <w:b/>
                <w:bCs/>
                <w:color w:val="000000" w:themeColor="text1"/>
                <w:sz w:val="20"/>
                <w:szCs w:val="20"/>
              </w:rPr>
              <w:t>23%</w:t>
            </w:r>
          </w:p>
        </w:tc>
      </w:tr>
    </w:tbl>
    <w:p w:rsidR="00784A11" w:rsidRPr="003C3E12" w:rsidRDefault="00784A11" w:rsidP="00784A11">
      <w:pPr>
        <w:spacing w:line="360" w:lineRule="auto"/>
        <w:ind w:left="1440"/>
        <w:jc w:val="both"/>
        <w:rPr>
          <w:rFonts w:ascii="Book Antiqua" w:hAnsi="Book Antiqua"/>
          <w:color w:val="FF0000"/>
        </w:rPr>
      </w:pPr>
    </w:p>
    <w:p w:rsidR="00784A11" w:rsidRPr="00345D14" w:rsidRDefault="00784A11" w:rsidP="00345D14">
      <w:pPr>
        <w:pStyle w:val="BodyText2"/>
        <w:spacing w:line="360" w:lineRule="auto"/>
        <w:jc w:val="both"/>
        <w:rPr>
          <w:rFonts w:ascii="Cambria" w:hAnsi="Cambria" w:cs="Arial"/>
          <w:sz w:val="24"/>
          <w:szCs w:val="24"/>
          <w:lang w:val="en-GB"/>
        </w:rPr>
      </w:pPr>
      <w:r w:rsidRPr="00345D14">
        <w:rPr>
          <w:rFonts w:ascii="Cambria" w:hAnsi="Cambria" w:cs="Arial"/>
          <w:sz w:val="24"/>
          <w:szCs w:val="24"/>
          <w:lang w:val="en-GB"/>
        </w:rPr>
        <w:t>16 nos of 33/11KV Sub Stations covering 50 nos of 11KV feeders, out of which 15 nos are under ODSSP scheme and one non ODSSP S/S (left out  11KV Ranasahi feeder of 33/11KV Digarania S/S under BED, Balasore) for energy auditing.</w:t>
      </w:r>
    </w:p>
    <w:p w:rsidR="00784A11" w:rsidRPr="00345D14" w:rsidRDefault="00784A11" w:rsidP="00345D14">
      <w:pPr>
        <w:pStyle w:val="BodyText2"/>
        <w:spacing w:line="360" w:lineRule="auto"/>
        <w:jc w:val="both"/>
        <w:rPr>
          <w:rFonts w:ascii="Cambria" w:hAnsi="Cambria" w:cs="Arial"/>
          <w:sz w:val="24"/>
          <w:szCs w:val="24"/>
          <w:lang w:val="en-GB"/>
        </w:rPr>
      </w:pPr>
      <w:r w:rsidRPr="00345D14">
        <w:rPr>
          <w:rFonts w:ascii="Cambria" w:hAnsi="Cambria" w:cs="Arial"/>
          <w:sz w:val="24"/>
          <w:szCs w:val="24"/>
          <w:lang w:val="en-GB"/>
        </w:rPr>
        <w:lastRenderedPageBreak/>
        <w:t>Consumer tagging of 29 nos of newly charged 33/11KV Sub Stations under ODSSP Scheme have been completed covering 95 nos of 11KV feeders. Balance consumer tagging of 11KV feeders will be completed by Dec-19.</w:t>
      </w:r>
    </w:p>
    <w:p w:rsidR="00784A11" w:rsidRPr="00345D14" w:rsidRDefault="00784A11" w:rsidP="00345D14">
      <w:pPr>
        <w:pStyle w:val="BodyText2"/>
        <w:spacing w:line="360" w:lineRule="auto"/>
        <w:jc w:val="both"/>
        <w:rPr>
          <w:rFonts w:ascii="Cambria" w:hAnsi="Cambria" w:cs="Arial"/>
          <w:sz w:val="24"/>
          <w:szCs w:val="24"/>
          <w:lang w:val="en-GB"/>
        </w:rPr>
      </w:pPr>
      <w:r w:rsidRPr="00345D14">
        <w:rPr>
          <w:rFonts w:ascii="Cambria" w:hAnsi="Cambria" w:cs="Arial"/>
          <w:sz w:val="24"/>
          <w:szCs w:val="24"/>
          <w:lang w:val="en-GB"/>
        </w:rPr>
        <w:t>Defective/ electromechanical meter replacement and installation of meter in no meter cases has been started from Nov-2018 under IPDS/DDUGJY scheme.</w:t>
      </w:r>
    </w:p>
    <w:p w:rsidR="00784A11" w:rsidRPr="00345D14" w:rsidRDefault="00784A11" w:rsidP="00345D14">
      <w:pPr>
        <w:pStyle w:val="BodyText2"/>
        <w:spacing w:line="360" w:lineRule="auto"/>
        <w:jc w:val="both"/>
        <w:rPr>
          <w:rFonts w:ascii="Cambria" w:hAnsi="Cambria" w:cs="Arial"/>
          <w:sz w:val="24"/>
          <w:szCs w:val="24"/>
          <w:lang w:val="en-GB"/>
        </w:rPr>
      </w:pPr>
      <w:r w:rsidRPr="00345D14">
        <w:rPr>
          <w:rFonts w:ascii="Cambria" w:hAnsi="Cambria" w:cs="Arial"/>
          <w:sz w:val="24"/>
          <w:szCs w:val="24"/>
          <w:lang w:val="en-GB"/>
        </w:rPr>
        <w:t>Three phase DTR metering under IPDS scheme has been started on 19 nos. of towns under NESCO utility.</w:t>
      </w:r>
    </w:p>
    <w:p w:rsidR="00784A11" w:rsidRPr="00345D14" w:rsidRDefault="00784A11" w:rsidP="00345D14">
      <w:pPr>
        <w:pStyle w:val="BodyText2"/>
        <w:spacing w:line="360" w:lineRule="auto"/>
        <w:jc w:val="both"/>
        <w:rPr>
          <w:rFonts w:ascii="Cambria" w:hAnsi="Cambria" w:cs="Arial"/>
          <w:sz w:val="24"/>
          <w:szCs w:val="24"/>
          <w:lang w:val="en-GB"/>
        </w:rPr>
      </w:pPr>
      <w:r w:rsidRPr="00345D14">
        <w:rPr>
          <w:rFonts w:ascii="Cambria" w:hAnsi="Cambria" w:cs="Arial"/>
          <w:sz w:val="24"/>
          <w:szCs w:val="24"/>
          <w:lang w:val="en-GB"/>
        </w:rPr>
        <w:t>Modem installation on 370 nos 11KV Rural feeders under NESCO utility has already been started by M/S GENUS for remote data pulling as well as display on national portal under 11KV rural feeder monitoring system with an access to DISCOMs for dash board view.</w:t>
      </w:r>
    </w:p>
    <w:p w:rsidR="0053568C" w:rsidRDefault="0053568C" w:rsidP="00E83687">
      <w:pPr>
        <w:jc w:val="both"/>
        <w:rPr>
          <w:rFonts w:ascii="Cambria" w:hAnsi="Cambria"/>
        </w:rPr>
      </w:pPr>
    </w:p>
    <w:p w:rsidR="00D569FA" w:rsidRPr="00345D14" w:rsidRDefault="00D569FA" w:rsidP="00E83687">
      <w:pPr>
        <w:spacing w:line="360" w:lineRule="auto"/>
        <w:jc w:val="both"/>
        <w:rPr>
          <w:rFonts w:asciiTheme="majorHAnsi" w:hAnsiTheme="majorHAnsi" w:cs="Arial"/>
          <w:b/>
          <w:color w:val="000000"/>
        </w:rPr>
      </w:pPr>
      <w:r w:rsidRPr="00345D14">
        <w:rPr>
          <w:rFonts w:asciiTheme="majorHAnsi" w:hAnsiTheme="majorHAnsi" w:cs="Arial"/>
          <w:b/>
          <w:color w:val="000000"/>
        </w:rPr>
        <w:t>The Uti</w:t>
      </w:r>
      <w:r w:rsidR="00BF5314" w:rsidRPr="00345D14">
        <w:rPr>
          <w:rFonts w:asciiTheme="majorHAnsi" w:hAnsiTheme="majorHAnsi" w:cs="Arial"/>
          <w:b/>
          <w:color w:val="000000"/>
        </w:rPr>
        <w:t>lity estimates an amount Rs. 4.7</w:t>
      </w:r>
      <w:r w:rsidR="0053568C" w:rsidRPr="00345D14">
        <w:rPr>
          <w:rFonts w:asciiTheme="majorHAnsi" w:hAnsiTheme="majorHAnsi" w:cs="Arial"/>
          <w:b/>
          <w:color w:val="000000"/>
        </w:rPr>
        <w:t>1 crs.</w:t>
      </w:r>
      <w:r w:rsidRPr="00345D14">
        <w:rPr>
          <w:rFonts w:asciiTheme="majorHAnsi" w:hAnsiTheme="majorHAnsi" w:cs="Arial"/>
          <w:b/>
          <w:color w:val="000000"/>
        </w:rPr>
        <w:t xml:space="preserve"> towards Energy audit purposes during the </w:t>
      </w:r>
      <w:r w:rsidR="00BF5314" w:rsidRPr="00345D14">
        <w:rPr>
          <w:rFonts w:asciiTheme="majorHAnsi" w:hAnsiTheme="majorHAnsi" w:cs="Arial"/>
          <w:b/>
          <w:color w:val="000000"/>
        </w:rPr>
        <w:t>ensuing year of FY 2020-21</w:t>
      </w:r>
      <w:r w:rsidR="0053568C" w:rsidRPr="00345D14">
        <w:rPr>
          <w:rFonts w:asciiTheme="majorHAnsi" w:hAnsiTheme="majorHAnsi" w:cs="Arial"/>
          <w:b/>
          <w:color w:val="000000"/>
        </w:rPr>
        <w:t xml:space="preserve"> respectively.</w:t>
      </w:r>
    </w:p>
    <w:p w:rsidR="00E83687" w:rsidRDefault="00E83687" w:rsidP="00E83687">
      <w:pPr>
        <w:spacing w:line="360" w:lineRule="auto"/>
        <w:jc w:val="both"/>
        <w:rPr>
          <w:rFonts w:ascii="Book Antiqua" w:hAnsi="Book Antiqua" w:cs="Arial"/>
          <w:color w:val="000000"/>
        </w:rPr>
      </w:pPr>
    </w:p>
    <w:p w:rsidR="00E83687" w:rsidRPr="000334F1" w:rsidRDefault="00E83687" w:rsidP="00E83687">
      <w:pPr>
        <w:pStyle w:val="Heading1"/>
        <w:numPr>
          <w:ilvl w:val="2"/>
          <w:numId w:val="1"/>
        </w:numPr>
        <w:spacing w:line="360" w:lineRule="auto"/>
        <w:jc w:val="both"/>
        <w:rPr>
          <w:rFonts w:ascii="Cambria" w:hAnsi="Cambria"/>
          <w:sz w:val="24"/>
          <w:szCs w:val="24"/>
        </w:rPr>
      </w:pPr>
      <w:bookmarkStart w:id="8" w:name="_Toc25850913"/>
      <w:r>
        <w:rPr>
          <w:rFonts w:ascii="Cambria" w:hAnsi="Cambria"/>
          <w:sz w:val="24"/>
          <w:szCs w:val="24"/>
        </w:rPr>
        <w:t>Smart Metering Implementation</w:t>
      </w:r>
      <w:bookmarkEnd w:id="8"/>
      <w:r w:rsidRPr="000334F1">
        <w:rPr>
          <w:rFonts w:ascii="Cambria" w:hAnsi="Cambria"/>
          <w:sz w:val="24"/>
          <w:szCs w:val="24"/>
        </w:rPr>
        <w:t xml:space="preserve"> </w:t>
      </w:r>
    </w:p>
    <w:p w:rsidR="007860BF" w:rsidRPr="00345D14" w:rsidRDefault="007860BF" w:rsidP="00345D14">
      <w:pPr>
        <w:pStyle w:val="BodyText2"/>
        <w:spacing w:line="360" w:lineRule="auto"/>
        <w:jc w:val="both"/>
        <w:rPr>
          <w:rFonts w:ascii="Cambria" w:hAnsi="Cambria" w:cs="Arial"/>
          <w:sz w:val="24"/>
          <w:szCs w:val="24"/>
          <w:lang w:val="en-GB"/>
        </w:rPr>
      </w:pPr>
      <w:r w:rsidRPr="00345D14">
        <w:rPr>
          <w:rFonts w:ascii="Cambria" w:hAnsi="Cambria" w:cs="Arial"/>
          <w:sz w:val="24"/>
          <w:szCs w:val="24"/>
          <w:lang w:val="en-GB"/>
        </w:rPr>
        <w:t xml:space="preserve">As per the directions of Hon’ble Commission the utility has come out with the plan for implementation of smart metering in the 05 district towns under the jurisdictional area covering approx 01 lac consumers. The implementation of smart metering shall benefit the utility by way of reduction in AT&amp;C Losses, demand side management, 24x7 Power for all, Outage reduction, Renewal Energy integration, Improved Energy Efficiency, Reliable Grid stability, faster restoration of power, Grid flexibility (backup power), reduction in Peak Demand resulting reduction in power purchase cost and real time billing. </w:t>
      </w:r>
    </w:p>
    <w:p w:rsidR="007860BF" w:rsidRPr="00A4295F" w:rsidRDefault="007860BF" w:rsidP="00E83687">
      <w:pPr>
        <w:spacing w:line="360" w:lineRule="auto"/>
        <w:jc w:val="both"/>
        <w:rPr>
          <w:rFonts w:asciiTheme="majorHAnsi" w:hAnsiTheme="majorHAnsi" w:cs="Arial"/>
          <w:b/>
          <w:color w:val="000000"/>
        </w:rPr>
      </w:pPr>
      <w:r w:rsidRPr="00A4295F">
        <w:rPr>
          <w:rFonts w:asciiTheme="majorHAnsi" w:hAnsiTheme="majorHAnsi" w:cs="Arial"/>
          <w:b/>
          <w:color w:val="000000"/>
        </w:rPr>
        <w:t>The implementation of smart metering covering 01 lac consumers shall involve Rs. 60.47 c</w:t>
      </w:r>
      <w:r w:rsidR="007A0227" w:rsidRPr="00A4295F">
        <w:rPr>
          <w:rFonts w:asciiTheme="majorHAnsi" w:hAnsiTheme="majorHAnsi" w:cs="Arial"/>
          <w:b/>
          <w:color w:val="000000"/>
        </w:rPr>
        <w:t>rores out of which aroung Rs. 1</w:t>
      </w:r>
      <w:r w:rsidRPr="00A4295F">
        <w:rPr>
          <w:rFonts w:asciiTheme="majorHAnsi" w:hAnsiTheme="majorHAnsi" w:cs="Arial"/>
          <w:b/>
          <w:color w:val="000000"/>
        </w:rPr>
        <w:t xml:space="preserve">00 </w:t>
      </w:r>
      <w:r w:rsidR="007A0227" w:rsidRPr="00A4295F">
        <w:rPr>
          <w:rFonts w:asciiTheme="majorHAnsi" w:hAnsiTheme="majorHAnsi" w:cs="Arial"/>
          <w:b/>
          <w:color w:val="000000"/>
        </w:rPr>
        <w:t xml:space="preserve">lacs </w:t>
      </w:r>
      <w:r w:rsidRPr="00A4295F">
        <w:rPr>
          <w:rFonts w:asciiTheme="majorHAnsi" w:hAnsiTheme="majorHAnsi" w:cs="Arial"/>
          <w:b/>
          <w:color w:val="000000"/>
        </w:rPr>
        <w:t>shall be the management expenses which has been claimed as Additional A &amp; G.</w:t>
      </w:r>
    </w:p>
    <w:p w:rsidR="007A0227" w:rsidRPr="00A4295F" w:rsidRDefault="007860BF" w:rsidP="007A0227">
      <w:pPr>
        <w:pStyle w:val="Heading1"/>
        <w:numPr>
          <w:ilvl w:val="2"/>
          <w:numId w:val="1"/>
        </w:numPr>
        <w:spacing w:line="360" w:lineRule="auto"/>
        <w:jc w:val="both"/>
        <w:rPr>
          <w:rFonts w:asciiTheme="majorHAnsi" w:hAnsiTheme="majorHAnsi"/>
          <w:sz w:val="24"/>
          <w:szCs w:val="24"/>
        </w:rPr>
      </w:pPr>
      <w:r w:rsidRPr="00A4295F">
        <w:rPr>
          <w:rFonts w:asciiTheme="majorHAnsi" w:hAnsiTheme="majorHAnsi"/>
          <w:color w:val="000000"/>
        </w:rPr>
        <w:tab/>
      </w:r>
      <w:bookmarkStart w:id="9" w:name="_Toc25850914"/>
      <w:r w:rsidR="007A0227" w:rsidRPr="00A4295F">
        <w:rPr>
          <w:rFonts w:asciiTheme="majorHAnsi" w:hAnsiTheme="majorHAnsi"/>
          <w:sz w:val="24"/>
          <w:szCs w:val="24"/>
        </w:rPr>
        <w:t>AMR Installation and management expenses</w:t>
      </w:r>
      <w:bookmarkEnd w:id="9"/>
      <w:r w:rsidR="007A0227" w:rsidRPr="00A4295F">
        <w:rPr>
          <w:rFonts w:asciiTheme="majorHAnsi" w:hAnsiTheme="majorHAnsi"/>
          <w:sz w:val="24"/>
          <w:szCs w:val="24"/>
        </w:rPr>
        <w:t xml:space="preserve"> </w:t>
      </w:r>
    </w:p>
    <w:p w:rsidR="007860BF" w:rsidRPr="00A4295F" w:rsidRDefault="007A0227" w:rsidP="007860BF">
      <w:pPr>
        <w:spacing w:line="360" w:lineRule="auto"/>
        <w:jc w:val="both"/>
        <w:rPr>
          <w:rFonts w:asciiTheme="majorHAnsi" w:hAnsiTheme="majorHAnsi" w:cs="Arial"/>
          <w:b/>
          <w:color w:val="000000"/>
        </w:rPr>
      </w:pPr>
      <w:r w:rsidRPr="00A4295F">
        <w:rPr>
          <w:rFonts w:asciiTheme="majorHAnsi" w:hAnsiTheme="majorHAnsi" w:cs="Arial"/>
          <w:color w:val="000000"/>
        </w:rPr>
        <w:t xml:space="preserve">The utility proposes in the ensuing year of installation of AMR System in 8000 installations which shall involve CAPEX as well OPEX. </w:t>
      </w:r>
      <w:r w:rsidRPr="00A4295F">
        <w:rPr>
          <w:rFonts w:asciiTheme="majorHAnsi" w:hAnsiTheme="majorHAnsi" w:cs="Arial"/>
          <w:b/>
          <w:color w:val="000000"/>
        </w:rPr>
        <w:t>The operative expenses viz. data calling and handling shall involve Rs. 8.00 lacs which has been claimed as additional A &amp; G Expenditure</w:t>
      </w:r>
    </w:p>
    <w:p w:rsidR="007A0227" w:rsidRPr="00A4295F" w:rsidRDefault="007A0227" w:rsidP="007A0227">
      <w:pPr>
        <w:pStyle w:val="Heading1"/>
        <w:numPr>
          <w:ilvl w:val="2"/>
          <w:numId w:val="1"/>
        </w:numPr>
        <w:spacing w:line="360" w:lineRule="auto"/>
        <w:jc w:val="both"/>
        <w:rPr>
          <w:rFonts w:asciiTheme="majorHAnsi" w:hAnsiTheme="majorHAnsi"/>
          <w:color w:val="000000"/>
          <w:sz w:val="24"/>
          <w:szCs w:val="24"/>
        </w:rPr>
      </w:pPr>
      <w:r w:rsidRPr="00A4295F">
        <w:rPr>
          <w:rFonts w:asciiTheme="majorHAnsi" w:hAnsiTheme="majorHAnsi"/>
          <w:color w:val="000000"/>
        </w:rPr>
        <w:lastRenderedPageBreak/>
        <w:tab/>
      </w:r>
      <w:bookmarkStart w:id="10" w:name="_Toc25850915"/>
      <w:r w:rsidRPr="00A4295F">
        <w:rPr>
          <w:rFonts w:asciiTheme="majorHAnsi" w:hAnsiTheme="majorHAnsi"/>
          <w:color w:val="000000"/>
          <w:sz w:val="24"/>
          <w:szCs w:val="24"/>
        </w:rPr>
        <w:t xml:space="preserve">Media </w:t>
      </w:r>
      <w:r w:rsidR="00C16BFF" w:rsidRPr="00A4295F">
        <w:rPr>
          <w:rFonts w:asciiTheme="majorHAnsi" w:hAnsiTheme="majorHAnsi"/>
          <w:color w:val="000000"/>
          <w:sz w:val="24"/>
          <w:szCs w:val="24"/>
        </w:rPr>
        <w:t>Campaigning</w:t>
      </w:r>
      <w:bookmarkEnd w:id="10"/>
      <w:r w:rsidRPr="00A4295F">
        <w:rPr>
          <w:rFonts w:asciiTheme="majorHAnsi" w:hAnsiTheme="majorHAnsi"/>
          <w:color w:val="000000"/>
          <w:sz w:val="24"/>
          <w:szCs w:val="24"/>
        </w:rPr>
        <w:t xml:space="preserve"> </w:t>
      </w:r>
    </w:p>
    <w:p w:rsidR="00DF0907" w:rsidRPr="00A4295F" w:rsidRDefault="00DF0907" w:rsidP="00DF0907">
      <w:pPr>
        <w:spacing w:line="360" w:lineRule="auto"/>
        <w:jc w:val="both"/>
        <w:rPr>
          <w:rFonts w:asciiTheme="majorHAnsi" w:hAnsiTheme="majorHAnsi" w:cs="Arial"/>
          <w:color w:val="000000"/>
        </w:rPr>
      </w:pPr>
      <w:r w:rsidRPr="00A4295F">
        <w:rPr>
          <w:rFonts w:asciiTheme="majorHAnsi" w:hAnsiTheme="majorHAnsi" w:cs="Arial"/>
          <w:color w:val="000000"/>
        </w:rPr>
        <w:t xml:space="preserve">Media </w:t>
      </w:r>
      <w:r w:rsidR="00A4295F" w:rsidRPr="00A4295F">
        <w:rPr>
          <w:rFonts w:asciiTheme="majorHAnsi" w:hAnsiTheme="majorHAnsi" w:cs="Arial"/>
          <w:color w:val="000000"/>
        </w:rPr>
        <w:t>Campaigning is</w:t>
      </w:r>
      <w:r w:rsidRPr="00A4295F">
        <w:rPr>
          <w:rFonts w:asciiTheme="majorHAnsi" w:hAnsiTheme="majorHAnsi" w:cs="Arial"/>
          <w:color w:val="000000"/>
        </w:rPr>
        <w:t xml:space="preserve"> being  given importance with an objective to provide information on various aspect of power distribution such as metering, billing, quality of power supply, service to the consumer and also for grievance redressal . This is a  communication strategy to sensitize consumer to cooperate in loss reduction and energy conservation. The objective of this media campaign is  to sensitize consumers on the following key messages;</w:t>
      </w:r>
    </w:p>
    <w:p w:rsidR="00DF0907" w:rsidRPr="00A4295F" w:rsidRDefault="00DF0907" w:rsidP="00DF0907">
      <w:pPr>
        <w:pStyle w:val="NoSpacing"/>
        <w:numPr>
          <w:ilvl w:val="0"/>
          <w:numId w:val="26"/>
        </w:numPr>
        <w:spacing w:after="120"/>
        <w:ind w:left="1440" w:hanging="450"/>
        <w:jc w:val="both"/>
        <w:rPr>
          <w:rFonts w:asciiTheme="majorHAnsi" w:eastAsia="Times New Roman" w:hAnsiTheme="majorHAnsi"/>
          <w:bCs/>
          <w:sz w:val="24"/>
          <w:szCs w:val="24"/>
        </w:rPr>
      </w:pPr>
      <w:r w:rsidRPr="00A4295F">
        <w:rPr>
          <w:rFonts w:asciiTheme="majorHAnsi" w:eastAsia="Times New Roman" w:hAnsiTheme="majorHAnsi"/>
          <w:bCs/>
          <w:sz w:val="24"/>
          <w:szCs w:val="24"/>
        </w:rPr>
        <w:t>Rights and Duties of Consumers</w:t>
      </w:r>
    </w:p>
    <w:p w:rsidR="00DF0907" w:rsidRPr="00A4295F" w:rsidRDefault="00DF0907" w:rsidP="00DF0907">
      <w:pPr>
        <w:pStyle w:val="NoSpacing"/>
        <w:numPr>
          <w:ilvl w:val="0"/>
          <w:numId w:val="26"/>
        </w:numPr>
        <w:spacing w:after="120"/>
        <w:ind w:left="1440" w:hanging="450"/>
        <w:jc w:val="both"/>
        <w:rPr>
          <w:rFonts w:asciiTheme="majorHAnsi" w:eastAsia="Times New Roman" w:hAnsiTheme="majorHAnsi"/>
          <w:bCs/>
          <w:sz w:val="24"/>
          <w:szCs w:val="24"/>
        </w:rPr>
      </w:pPr>
      <w:r w:rsidRPr="00A4295F">
        <w:rPr>
          <w:rFonts w:asciiTheme="majorHAnsi" w:eastAsia="Times New Roman" w:hAnsiTheme="majorHAnsi"/>
          <w:bCs/>
          <w:sz w:val="24"/>
          <w:szCs w:val="24"/>
        </w:rPr>
        <w:t>Complaint Redressal</w:t>
      </w:r>
    </w:p>
    <w:p w:rsidR="00DF0907" w:rsidRPr="00A4295F" w:rsidRDefault="00DF0907" w:rsidP="00DF0907">
      <w:pPr>
        <w:pStyle w:val="NoSpacing"/>
        <w:numPr>
          <w:ilvl w:val="0"/>
          <w:numId w:val="26"/>
        </w:numPr>
        <w:spacing w:after="120"/>
        <w:ind w:left="1440" w:hanging="450"/>
        <w:jc w:val="both"/>
        <w:rPr>
          <w:rFonts w:asciiTheme="majorHAnsi" w:eastAsia="Times New Roman" w:hAnsiTheme="majorHAnsi"/>
          <w:bCs/>
          <w:sz w:val="24"/>
          <w:szCs w:val="24"/>
        </w:rPr>
      </w:pPr>
      <w:r w:rsidRPr="00A4295F">
        <w:rPr>
          <w:rFonts w:asciiTheme="majorHAnsi" w:eastAsia="Times New Roman" w:hAnsiTheme="majorHAnsi"/>
          <w:bCs/>
          <w:sz w:val="24"/>
          <w:szCs w:val="24"/>
        </w:rPr>
        <w:t>Stop theft of electricity</w:t>
      </w:r>
    </w:p>
    <w:p w:rsidR="00DF0907" w:rsidRPr="00A4295F" w:rsidRDefault="00DF0907" w:rsidP="00DF0907">
      <w:pPr>
        <w:pStyle w:val="NoSpacing"/>
        <w:numPr>
          <w:ilvl w:val="0"/>
          <w:numId w:val="26"/>
        </w:numPr>
        <w:spacing w:after="120"/>
        <w:ind w:left="1440" w:hanging="450"/>
        <w:jc w:val="both"/>
        <w:rPr>
          <w:rFonts w:asciiTheme="majorHAnsi" w:eastAsia="Times New Roman" w:hAnsiTheme="majorHAnsi"/>
          <w:bCs/>
          <w:sz w:val="24"/>
          <w:szCs w:val="24"/>
        </w:rPr>
      </w:pPr>
      <w:r w:rsidRPr="00A4295F">
        <w:rPr>
          <w:rFonts w:asciiTheme="majorHAnsi" w:eastAsia="Times New Roman" w:hAnsiTheme="majorHAnsi"/>
          <w:bCs/>
          <w:sz w:val="24"/>
          <w:szCs w:val="24"/>
        </w:rPr>
        <w:t>Stop illegal usage (Hook-ups / Meter Bypass,Tampering)</w:t>
      </w:r>
    </w:p>
    <w:p w:rsidR="00DF0907" w:rsidRPr="00A4295F" w:rsidRDefault="00DF0907" w:rsidP="00DF0907">
      <w:pPr>
        <w:pStyle w:val="NoSpacing"/>
        <w:numPr>
          <w:ilvl w:val="0"/>
          <w:numId w:val="26"/>
        </w:numPr>
        <w:spacing w:after="120"/>
        <w:ind w:left="1440" w:hanging="450"/>
        <w:jc w:val="both"/>
        <w:rPr>
          <w:rFonts w:asciiTheme="majorHAnsi" w:eastAsia="Times New Roman" w:hAnsiTheme="majorHAnsi"/>
          <w:bCs/>
          <w:sz w:val="24"/>
          <w:szCs w:val="24"/>
        </w:rPr>
      </w:pPr>
      <w:r w:rsidRPr="00A4295F">
        <w:rPr>
          <w:rFonts w:asciiTheme="majorHAnsi" w:eastAsia="Times New Roman" w:hAnsiTheme="majorHAnsi"/>
          <w:bCs/>
          <w:sz w:val="24"/>
          <w:szCs w:val="24"/>
        </w:rPr>
        <w:t>Timely Payment of Dues</w:t>
      </w:r>
    </w:p>
    <w:p w:rsidR="00DF0907" w:rsidRPr="00A4295F" w:rsidRDefault="00DF0907" w:rsidP="00DF0907">
      <w:pPr>
        <w:pStyle w:val="NoSpacing"/>
        <w:numPr>
          <w:ilvl w:val="0"/>
          <w:numId w:val="26"/>
        </w:numPr>
        <w:spacing w:after="120"/>
        <w:ind w:left="1440" w:hanging="450"/>
        <w:jc w:val="both"/>
        <w:rPr>
          <w:rFonts w:asciiTheme="majorHAnsi" w:eastAsia="Times New Roman" w:hAnsiTheme="majorHAnsi"/>
          <w:bCs/>
          <w:sz w:val="24"/>
          <w:szCs w:val="24"/>
        </w:rPr>
      </w:pPr>
      <w:r w:rsidRPr="00A4295F">
        <w:rPr>
          <w:rFonts w:asciiTheme="majorHAnsi" w:eastAsia="Times New Roman" w:hAnsiTheme="majorHAnsi"/>
          <w:bCs/>
          <w:sz w:val="24"/>
          <w:szCs w:val="24"/>
        </w:rPr>
        <w:t xml:space="preserve">Stop misuse and wastage of electricity  </w:t>
      </w:r>
    </w:p>
    <w:p w:rsidR="00DF0907" w:rsidRPr="00A4295F" w:rsidRDefault="00DF0907" w:rsidP="00DF0907">
      <w:pPr>
        <w:pStyle w:val="NoSpacing"/>
        <w:spacing w:after="120"/>
        <w:ind w:left="1440"/>
        <w:jc w:val="both"/>
        <w:rPr>
          <w:rFonts w:asciiTheme="majorHAnsi" w:eastAsia="Times New Roman" w:hAnsiTheme="majorHAnsi"/>
          <w:bCs/>
          <w:sz w:val="24"/>
          <w:szCs w:val="24"/>
        </w:rPr>
      </w:pPr>
    </w:p>
    <w:p w:rsidR="00DF0907" w:rsidRPr="00A4295F" w:rsidRDefault="00DF0907" w:rsidP="00DF0907">
      <w:pPr>
        <w:spacing w:line="360" w:lineRule="auto"/>
        <w:jc w:val="both"/>
        <w:rPr>
          <w:rFonts w:asciiTheme="majorHAnsi" w:hAnsiTheme="majorHAnsi" w:cs="Arial"/>
          <w:color w:val="000000"/>
        </w:rPr>
      </w:pPr>
      <w:r w:rsidRPr="00A4295F">
        <w:rPr>
          <w:rFonts w:asciiTheme="majorHAnsi" w:hAnsiTheme="majorHAnsi" w:cs="Arial"/>
          <w:color w:val="000000"/>
        </w:rPr>
        <w:t>The Orissa Electricity Regulatory Commission had constituted a media committee that has formulated the comprehensive multimedia low cost communication strategy to build awareness on the topic. The media plan includes Website for campaign, Audio-Visual spots for broadcasting Cinema Halls, Wall Paintings for  Substations, FAQs uploading in Website, Street Theatre, Painting/ poster and debate Competition in High Schools in 16 divisions of the utility, 2 events in fairs and festivals within the jurisdiction of the utility etc. For FY 2018-19, the funds of Rs.66 lakh available from the earlier media campaign fund, ‘Bijuli</w:t>
      </w:r>
      <w:r w:rsidR="00A4295F">
        <w:rPr>
          <w:rFonts w:asciiTheme="majorHAnsi" w:hAnsiTheme="majorHAnsi" w:cs="Arial"/>
          <w:color w:val="000000"/>
        </w:rPr>
        <w:t xml:space="preserve"> </w:t>
      </w:r>
      <w:r w:rsidRPr="00A4295F">
        <w:rPr>
          <w:rFonts w:asciiTheme="majorHAnsi" w:hAnsiTheme="majorHAnsi" w:cs="Arial"/>
          <w:color w:val="000000"/>
        </w:rPr>
        <w:t xml:space="preserve">Didi’ was utilized and after utilization of the same, each distribution company has been advised to contribute </w:t>
      </w:r>
      <w:r w:rsidRPr="00A4295F">
        <w:rPr>
          <w:rFonts w:asciiTheme="majorHAnsi" w:hAnsiTheme="majorHAnsi" w:cs="Arial"/>
          <w:b/>
          <w:color w:val="000000"/>
        </w:rPr>
        <w:t>Rs 50 lakh for the implementation of said Campaign during the ensuing financial years</w:t>
      </w:r>
      <w:r w:rsidRPr="00A4295F">
        <w:rPr>
          <w:rFonts w:asciiTheme="majorHAnsi" w:hAnsiTheme="majorHAnsi" w:cs="Arial"/>
          <w:color w:val="000000"/>
        </w:rPr>
        <w:t>, which may kindly be approved.</w:t>
      </w:r>
    </w:p>
    <w:p w:rsidR="00B6438F" w:rsidRPr="00A4295F" w:rsidRDefault="00B6438F" w:rsidP="00C3616B">
      <w:pPr>
        <w:pStyle w:val="Heading1"/>
        <w:numPr>
          <w:ilvl w:val="2"/>
          <w:numId w:val="1"/>
        </w:numPr>
        <w:spacing w:line="360" w:lineRule="auto"/>
        <w:jc w:val="both"/>
        <w:rPr>
          <w:rFonts w:asciiTheme="majorHAnsi" w:hAnsiTheme="majorHAnsi"/>
          <w:sz w:val="24"/>
          <w:szCs w:val="24"/>
        </w:rPr>
      </w:pPr>
      <w:bookmarkStart w:id="11" w:name="_Toc25850916"/>
      <w:r w:rsidRPr="00A4295F">
        <w:rPr>
          <w:rFonts w:asciiTheme="majorHAnsi" w:hAnsiTheme="majorHAnsi" w:cs="Times New Roman"/>
          <w:sz w:val="24"/>
          <w:szCs w:val="24"/>
        </w:rPr>
        <w:t>Community Participation in Rural Power Distribution System of Odisha</w:t>
      </w:r>
      <w:bookmarkEnd w:id="11"/>
      <w:r w:rsidRPr="00A4295F">
        <w:rPr>
          <w:rFonts w:asciiTheme="majorHAnsi" w:hAnsiTheme="majorHAnsi"/>
          <w:sz w:val="24"/>
          <w:szCs w:val="24"/>
        </w:rPr>
        <w:t xml:space="preserve"> </w:t>
      </w:r>
    </w:p>
    <w:p w:rsidR="00965927" w:rsidRPr="00A4295F" w:rsidRDefault="00965927" w:rsidP="00965927">
      <w:pPr>
        <w:spacing w:line="360" w:lineRule="auto"/>
        <w:jc w:val="both"/>
        <w:rPr>
          <w:rFonts w:asciiTheme="majorHAnsi" w:hAnsiTheme="majorHAnsi" w:cs="Arial"/>
          <w:color w:val="000000"/>
        </w:rPr>
      </w:pPr>
      <w:r w:rsidRPr="00A4295F">
        <w:rPr>
          <w:rFonts w:asciiTheme="majorHAnsi" w:hAnsiTheme="majorHAnsi" w:cs="Arial"/>
          <w:color w:val="000000"/>
        </w:rPr>
        <w:t>Community participation means involvement of people in a community to solve their own problem. Hon’ble OERC has directed from time to time to engage agencies like user associations, Panchayati Raj Institutions, Non-Govt. Organisation(NGO), Co-operative Societies and Women Self Help Groups  to do Meter Reading, Billing and Collection in electricity distribution.</w:t>
      </w:r>
    </w:p>
    <w:p w:rsidR="00965927" w:rsidRPr="00646916" w:rsidRDefault="00965927" w:rsidP="00965927">
      <w:pPr>
        <w:pStyle w:val="ListParagraph"/>
        <w:ind w:left="360"/>
        <w:jc w:val="both"/>
        <w:rPr>
          <w:rFonts w:asciiTheme="minorHAnsi" w:hAnsiTheme="minorHAnsi"/>
          <w:bCs/>
        </w:rPr>
      </w:pPr>
    </w:p>
    <w:p w:rsidR="00965927" w:rsidRPr="00965927" w:rsidRDefault="00965927" w:rsidP="00965927">
      <w:pPr>
        <w:spacing w:line="360" w:lineRule="auto"/>
        <w:jc w:val="both"/>
        <w:rPr>
          <w:rFonts w:ascii="Book Antiqua" w:hAnsi="Book Antiqua" w:cs="Arial"/>
          <w:color w:val="000000"/>
        </w:rPr>
      </w:pPr>
      <w:r w:rsidRPr="00965927">
        <w:rPr>
          <w:rFonts w:ascii="Book Antiqua" w:hAnsi="Book Antiqua" w:cs="Arial"/>
          <w:color w:val="000000"/>
        </w:rPr>
        <w:lastRenderedPageBreak/>
        <w:t>NESCO Utility  has engaged Women Self Help Groups (WSHGs) in Manatri and Harichandanpur, Telkoi, Patna, Saharapada, Sadar, Champua and Kaptipada blocks.  85nos. of WSHGs are functioning under eight blocks  covering around ninety three thousand consumers.</w:t>
      </w:r>
    </w:p>
    <w:p w:rsidR="00965927" w:rsidRDefault="00965927" w:rsidP="00965927">
      <w:pPr>
        <w:pStyle w:val="ListParagraph"/>
        <w:ind w:left="360"/>
        <w:jc w:val="both"/>
      </w:pPr>
    </w:p>
    <w:p w:rsidR="00965927" w:rsidRPr="00965927" w:rsidRDefault="00965927" w:rsidP="00965927">
      <w:pPr>
        <w:spacing w:line="360" w:lineRule="auto"/>
        <w:jc w:val="both"/>
        <w:rPr>
          <w:rFonts w:ascii="Book Antiqua" w:hAnsi="Book Antiqua" w:cs="Arial"/>
          <w:color w:val="000000"/>
        </w:rPr>
      </w:pPr>
      <w:r w:rsidRPr="00965927">
        <w:rPr>
          <w:rFonts w:ascii="Book Antiqua" w:hAnsi="Book Antiqua" w:cs="Arial"/>
          <w:color w:val="000000"/>
        </w:rPr>
        <w:t>Commissioner-cum-Director, Department of Women &amp; Child Development and Mission Shakti, has also issued guidelines for selection and functioning of WSHG/SHG federation for Electricity Billing and collection .</w:t>
      </w:r>
    </w:p>
    <w:p w:rsidR="00965927" w:rsidRDefault="00965927" w:rsidP="00965927">
      <w:pPr>
        <w:pStyle w:val="ListParagraph"/>
        <w:ind w:left="360"/>
        <w:jc w:val="both"/>
      </w:pPr>
    </w:p>
    <w:p w:rsidR="00B6438F" w:rsidRPr="00965927" w:rsidRDefault="00965927" w:rsidP="00965927">
      <w:pPr>
        <w:spacing w:line="360" w:lineRule="auto"/>
        <w:jc w:val="both"/>
        <w:rPr>
          <w:rFonts w:ascii="Book Antiqua" w:hAnsi="Book Antiqua" w:cs="Arial"/>
          <w:color w:val="000000"/>
        </w:rPr>
      </w:pPr>
      <w:r w:rsidRPr="00965927">
        <w:rPr>
          <w:rFonts w:ascii="Book Antiqua" w:hAnsi="Book Antiqua" w:cs="Arial"/>
          <w:color w:val="000000"/>
        </w:rPr>
        <w:t xml:space="preserve">As per the guideline , presently the utility is executing agreement with WSHGs after the district level committee is completing the WSHG selection process and orientation training is being imparted to them by the utility. </w:t>
      </w:r>
      <w:r w:rsidRPr="00646916">
        <w:t xml:space="preserve">The required machines are being provided with field training to the selected WSHGs . </w:t>
      </w:r>
    </w:p>
    <w:p w:rsidR="00965927" w:rsidRDefault="00965927" w:rsidP="00B6438F">
      <w:pPr>
        <w:pStyle w:val="ListParagraph"/>
        <w:ind w:left="360"/>
        <w:jc w:val="both"/>
        <w:rPr>
          <w:b/>
          <w:highlight w:val="yellow"/>
          <w:u w:val="single"/>
        </w:rPr>
      </w:pPr>
    </w:p>
    <w:p w:rsidR="00965927" w:rsidRPr="00965927" w:rsidRDefault="00965927" w:rsidP="00965927">
      <w:pPr>
        <w:pStyle w:val="ListParagraph"/>
        <w:ind w:left="360"/>
        <w:jc w:val="both"/>
        <w:rPr>
          <w:rFonts w:ascii="Book Antiqua" w:hAnsi="Book Antiqua"/>
          <w:b/>
          <w:sz w:val="24"/>
          <w:szCs w:val="24"/>
          <w:u w:val="single"/>
        </w:rPr>
      </w:pPr>
      <w:r w:rsidRPr="00965927">
        <w:rPr>
          <w:rFonts w:ascii="Book Antiqua" w:hAnsi="Book Antiqua"/>
          <w:b/>
          <w:sz w:val="24"/>
          <w:szCs w:val="24"/>
          <w:u w:val="single"/>
        </w:rPr>
        <w:t>WSHGs engaged in  NESCO Utility under community participation :</w:t>
      </w:r>
    </w:p>
    <w:p w:rsidR="00965927" w:rsidRDefault="00965927" w:rsidP="00B6438F">
      <w:pPr>
        <w:pStyle w:val="ListParagraph"/>
        <w:ind w:left="360"/>
        <w:jc w:val="both"/>
        <w:rPr>
          <w:b/>
          <w:highlight w:val="yellow"/>
          <w:u w:val="single"/>
        </w:rPr>
      </w:pPr>
    </w:p>
    <w:tbl>
      <w:tblPr>
        <w:tblW w:w="9228" w:type="dxa"/>
        <w:tblInd w:w="94" w:type="dxa"/>
        <w:tblLook w:val="04A0"/>
      </w:tblPr>
      <w:tblGrid>
        <w:gridCol w:w="723"/>
        <w:gridCol w:w="1108"/>
        <w:gridCol w:w="1061"/>
        <w:gridCol w:w="1060"/>
        <w:gridCol w:w="1616"/>
        <w:gridCol w:w="869"/>
        <w:gridCol w:w="1276"/>
        <w:gridCol w:w="1515"/>
      </w:tblGrid>
      <w:tr w:rsidR="00965927" w:rsidRPr="00646916" w:rsidTr="00F42E0C">
        <w:trPr>
          <w:trHeight w:val="420"/>
        </w:trPr>
        <w:tc>
          <w:tcPr>
            <w:tcW w:w="723" w:type="dxa"/>
            <w:vMerge w:val="restart"/>
            <w:tcBorders>
              <w:top w:val="single" w:sz="4" w:space="0" w:color="auto"/>
              <w:left w:val="single" w:sz="4" w:space="0" w:color="auto"/>
              <w:bottom w:val="single" w:sz="4" w:space="0" w:color="auto"/>
              <w:right w:val="single" w:sz="4" w:space="0" w:color="auto"/>
            </w:tcBorders>
            <w:shd w:val="clear" w:color="000000" w:fill="D0D8E8"/>
            <w:vAlign w:val="center"/>
            <w:hideMark/>
          </w:tcPr>
          <w:p w:rsidR="00965927" w:rsidRPr="001F1499" w:rsidRDefault="00965927" w:rsidP="00F42E0C">
            <w:pPr>
              <w:jc w:val="center"/>
              <w:rPr>
                <w:b/>
                <w:bCs/>
                <w:color w:val="000000"/>
                <w:sz w:val="18"/>
                <w:szCs w:val="18"/>
              </w:rPr>
            </w:pPr>
            <w:r w:rsidRPr="001F1499">
              <w:rPr>
                <w:b/>
                <w:bCs/>
                <w:color w:val="000000"/>
                <w:sz w:val="18"/>
                <w:szCs w:val="18"/>
              </w:rPr>
              <w:t xml:space="preserve">Sl. No  </w:t>
            </w:r>
          </w:p>
        </w:tc>
        <w:tc>
          <w:tcPr>
            <w:tcW w:w="1108" w:type="dxa"/>
            <w:vMerge w:val="restart"/>
            <w:tcBorders>
              <w:top w:val="single" w:sz="4" w:space="0" w:color="auto"/>
              <w:left w:val="single" w:sz="4" w:space="0" w:color="auto"/>
              <w:bottom w:val="single" w:sz="4" w:space="0" w:color="auto"/>
              <w:right w:val="single" w:sz="4" w:space="0" w:color="auto"/>
            </w:tcBorders>
            <w:shd w:val="clear" w:color="000000" w:fill="D0D8E8"/>
            <w:vAlign w:val="center"/>
            <w:hideMark/>
          </w:tcPr>
          <w:p w:rsidR="00965927" w:rsidRPr="001F1499" w:rsidRDefault="00965927" w:rsidP="00F42E0C">
            <w:pPr>
              <w:jc w:val="center"/>
              <w:rPr>
                <w:b/>
                <w:bCs/>
                <w:color w:val="000000"/>
                <w:sz w:val="18"/>
                <w:szCs w:val="18"/>
              </w:rPr>
            </w:pPr>
            <w:r w:rsidRPr="001F1499">
              <w:rPr>
                <w:b/>
                <w:bCs/>
                <w:color w:val="000000"/>
                <w:sz w:val="18"/>
                <w:szCs w:val="18"/>
              </w:rPr>
              <w:t xml:space="preserve">Name of the District </w:t>
            </w:r>
          </w:p>
        </w:tc>
        <w:tc>
          <w:tcPr>
            <w:tcW w:w="1018" w:type="dxa"/>
            <w:vMerge w:val="restart"/>
            <w:tcBorders>
              <w:top w:val="single" w:sz="4" w:space="0" w:color="auto"/>
              <w:left w:val="single" w:sz="4" w:space="0" w:color="auto"/>
              <w:bottom w:val="single" w:sz="4" w:space="0" w:color="auto"/>
              <w:right w:val="single" w:sz="4" w:space="0" w:color="auto"/>
            </w:tcBorders>
            <w:shd w:val="clear" w:color="000000" w:fill="D0D8E8"/>
            <w:vAlign w:val="center"/>
            <w:hideMark/>
          </w:tcPr>
          <w:p w:rsidR="00965927" w:rsidRPr="001F1499" w:rsidRDefault="00965927" w:rsidP="00F42E0C">
            <w:pPr>
              <w:jc w:val="center"/>
              <w:rPr>
                <w:b/>
                <w:bCs/>
                <w:color w:val="000000"/>
                <w:sz w:val="18"/>
                <w:szCs w:val="18"/>
              </w:rPr>
            </w:pPr>
            <w:r w:rsidRPr="001F1499">
              <w:rPr>
                <w:b/>
                <w:bCs/>
                <w:color w:val="000000"/>
                <w:sz w:val="18"/>
                <w:szCs w:val="18"/>
              </w:rPr>
              <w:t>Name of the Division</w:t>
            </w:r>
          </w:p>
        </w:tc>
        <w:tc>
          <w:tcPr>
            <w:tcW w:w="1060" w:type="dxa"/>
            <w:vMerge w:val="restart"/>
            <w:tcBorders>
              <w:top w:val="single" w:sz="4" w:space="0" w:color="auto"/>
              <w:left w:val="single" w:sz="4" w:space="0" w:color="auto"/>
              <w:bottom w:val="single" w:sz="4" w:space="0" w:color="auto"/>
              <w:right w:val="single" w:sz="4" w:space="0" w:color="auto"/>
            </w:tcBorders>
            <w:shd w:val="clear" w:color="000000" w:fill="D0D8E8"/>
            <w:vAlign w:val="center"/>
            <w:hideMark/>
          </w:tcPr>
          <w:p w:rsidR="00965927" w:rsidRPr="001F1499" w:rsidRDefault="00965927" w:rsidP="00F42E0C">
            <w:pPr>
              <w:rPr>
                <w:b/>
                <w:bCs/>
                <w:color w:val="000000"/>
                <w:sz w:val="18"/>
                <w:szCs w:val="18"/>
              </w:rPr>
            </w:pPr>
            <w:r w:rsidRPr="001F1499">
              <w:rPr>
                <w:b/>
                <w:bCs/>
                <w:color w:val="000000"/>
                <w:sz w:val="18"/>
                <w:szCs w:val="18"/>
              </w:rPr>
              <w:t>Name of the Sub-Division</w:t>
            </w:r>
          </w:p>
        </w:tc>
        <w:tc>
          <w:tcPr>
            <w:tcW w:w="1634" w:type="dxa"/>
            <w:vMerge w:val="restart"/>
            <w:tcBorders>
              <w:top w:val="single" w:sz="4" w:space="0" w:color="auto"/>
              <w:left w:val="single" w:sz="4" w:space="0" w:color="auto"/>
              <w:bottom w:val="single" w:sz="4" w:space="0" w:color="auto"/>
              <w:right w:val="single" w:sz="4" w:space="0" w:color="auto"/>
            </w:tcBorders>
            <w:shd w:val="clear" w:color="000000" w:fill="D0D8E8"/>
            <w:vAlign w:val="center"/>
            <w:hideMark/>
          </w:tcPr>
          <w:p w:rsidR="00965927" w:rsidRPr="001F1499" w:rsidRDefault="00965927" w:rsidP="00F42E0C">
            <w:pPr>
              <w:jc w:val="center"/>
              <w:rPr>
                <w:b/>
                <w:bCs/>
                <w:color w:val="000000"/>
                <w:sz w:val="18"/>
                <w:szCs w:val="18"/>
              </w:rPr>
            </w:pPr>
            <w:r w:rsidRPr="001F1499">
              <w:rPr>
                <w:b/>
                <w:bCs/>
                <w:color w:val="000000"/>
                <w:sz w:val="18"/>
                <w:szCs w:val="18"/>
              </w:rPr>
              <w:t>Name of the Block</w:t>
            </w:r>
          </w:p>
        </w:tc>
        <w:tc>
          <w:tcPr>
            <w:tcW w:w="894" w:type="dxa"/>
            <w:vMerge w:val="restart"/>
            <w:tcBorders>
              <w:top w:val="single" w:sz="4" w:space="0" w:color="auto"/>
              <w:left w:val="single" w:sz="4" w:space="0" w:color="auto"/>
              <w:bottom w:val="single" w:sz="4" w:space="0" w:color="000000"/>
              <w:right w:val="single" w:sz="4" w:space="0" w:color="auto"/>
            </w:tcBorders>
            <w:shd w:val="clear" w:color="000000" w:fill="D0D8E8"/>
            <w:vAlign w:val="center"/>
            <w:hideMark/>
          </w:tcPr>
          <w:p w:rsidR="00965927" w:rsidRPr="001F1499" w:rsidRDefault="00965927" w:rsidP="00F42E0C">
            <w:pPr>
              <w:jc w:val="center"/>
              <w:rPr>
                <w:b/>
                <w:bCs/>
                <w:color w:val="000000"/>
                <w:sz w:val="18"/>
                <w:szCs w:val="18"/>
              </w:rPr>
            </w:pPr>
            <w:r w:rsidRPr="001F1499">
              <w:rPr>
                <w:b/>
                <w:bCs/>
                <w:color w:val="000000"/>
                <w:sz w:val="18"/>
                <w:szCs w:val="18"/>
              </w:rPr>
              <w:t>No. of GPs</w:t>
            </w:r>
          </w:p>
        </w:tc>
        <w:tc>
          <w:tcPr>
            <w:tcW w:w="2791" w:type="dxa"/>
            <w:gridSpan w:val="2"/>
            <w:tcBorders>
              <w:top w:val="single" w:sz="4" w:space="0" w:color="auto"/>
              <w:left w:val="nil"/>
              <w:bottom w:val="single" w:sz="4" w:space="0" w:color="auto"/>
              <w:right w:val="single" w:sz="4" w:space="0" w:color="auto"/>
            </w:tcBorders>
            <w:shd w:val="clear" w:color="000000" w:fill="D0D8E8"/>
            <w:vAlign w:val="center"/>
            <w:hideMark/>
          </w:tcPr>
          <w:p w:rsidR="00965927" w:rsidRPr="001F1499" w:rsidRDefault="00965927" w:rsidP="00F42E0C">
            <w:pPr>
              <w:jc w:val="center"/>
              <w:rPr>
                <w:b/>
                <w:bCs/>
                <w:color w:val="000000"/>
                <w:sz w:val="18"/>
                <w:szCs w:val="18"/>
              </w:rPr>
            </w:pPr>
            <w:r w:rsidRPr="001F1499">
              <w:rPr>
                <w:b/>
                <w:bCs/>
                <w:color w:val="000000"/>
                <w:sz w:val="18"/>
                <w:szCs w:val="18"/>
              </w:rPr>
              <w:t>WSHG</w:t>
            </w:r>
          </w:p>
        </w:tc>
      </w:tr>
      <w:tr w:rsidR="00965927" w:rsidRPr="001F1499" w:rsidTr="00F42E0C">
        <w:trPr>
          <w:trHeight w:val="288"/>
        </w:trPr>
        <w:tc>
          <w:tcPr>
            <w:tcW w:w="723" w:type="dxa"/>
            <w:vMerge/>
            <w:tcBorders>
              <w:top w:val="single" w:sz="4" w:space="0" w:color="auto"/>
              <w:left w:val="single" w:sz="4" w:space="0" w:color="auto"/>
              <w:bottom w:val="single" w:sz="4" w:space="0" w:color="auto"/>
              <w:right w:val="single" w:sz="4" w:space="0" w:color="auto"/>
            </w:tcBorders>
            <w:vAlign w:val="center"/>
            <w:hideMark/>
          </w:tcPr>
          <w:p w:rsidR="00965927" w:rsidRPr="001F1499" w:rsidRDefault="00965927" w:rsidP="00F42E0C">
            <w:pPr>
              <w:rPr>
                <w:b/>
                <w:bCs/>
                <w:color w:val="000000"/>
                <w:sz w:val="18"/>
                <w:szCs w:val="18"/>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965927" w:rsidRPr="001F1499" w:rsidRDefault="00965927" w:rsidP="00F42E0C">
            <w:pPr>
              <w:rPr>
                <w:b/>
                <w:bCs/>
                <w:color w:val="000000"/>
                <w:sz w:val="18"/>
                <w:szCs w:val="18"/>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rsidR="00965927" w:rsidRPr="001F1499" w:rsidRDefault="00965927" w:rsidP="00F42E0C">
            <w:pPr>
              <w:rPr>
                <w:b/>
                <w:bCs/>
                <w:color w:val="000000"/>
                <w:sz w:val="18"/>
                <w:szCs w:val="18"/>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965927" w:rsidRPr="001F1499" w:rsidRDefault="00965927" w:rsidP="00F42E0C">
            <w:pPr>
              <w:rPr>
                <w:b/>
                <w:bCs/>
                <w:color w:val="000000"/>
                <w:sz w:val="18"/>
                <w:szCs w:val="18"/>
              </w:rPr>
            </w:pPr>
          </w:p>
        </w:tc>
        <w:tc>
          <w:tcPr>
            <w:tcW w:w="1634" w:type="dxa"/>
            <w:vMerge/>
            <w:tcBorders>
              <w:top w:val="single" w:sz="4" w:space="0" w:color="auto"/>
              <w:left w:val="single" w:sz="4" w:space="0" w:color="auto"/>
              <w:bottom w:val="single" w:sz="4" w:space="0" w:color="auto"/>
              <w:right w:val="single" w:sz="4" w:space="0" w:color="auto"/>
            </w:tcBorders>
            <w:vAlign w:val="center"/>
            <w:hideMark/>
          </w:tcPr>
          <w:p w:rsidR="00965927" w:rsidRPr="001F1499" w:rsidRDefault="00965927" w:rsidP="00F42E0C">
            <w:pPr>
              <w:rPr>
                <w:b/>
                <w:bCs/>
                <w:color w:val="000000"/>
                <w:sz w:val="18"/>
                <w:szCs w:val="18"/>
              </w:rPr>
            </w:pPr>
          </w:p>
        </w:tc>
        <w:tc>
          <w:tcPr>
            <w:tcW w:w="894" w:type="dxa"/>
            <w:vMerge/>
            <w:tcBorders>
              <w:top w:val="single" w:sz="4" w:space="0" w:color="auto"/>
              <w:left w:val="single" w:sz="4" w:space="0" w:color="auto"/>
              <w:bottom w:val="single" w:sz="4" w:space="0" w:color="000000"/>
              <w:right w:val="single" w:sz="4" w:space="0" w:color="auto"/>
            </w:tcBorders>
            <w:vAlign w:val="center"/>
            <w:hideMark/>
          </w:tcPr>
          <w:p w:rsidR="00965927" w:rsidRPr="001F1499" w:rsidRDefault="00965927" w:rsidP="00F42E0C">
            <w:pPr>
              <w:rPr>
                <w:b/>
                <w:bCs/>
                <w:color w:val="000000"/>
                <w:sz w:val="18"/>
                <w:szCs w:val="18"/>
              </w:rPr>
            </w:pPr>
          </w:p>
        </w:tc>
        <w:tc>
          <w:tcPr>
            <w:tcW w:w="1276" w:type="dxa"/>
            <w:vMerge w:val="restart"/>
            <w:tcBorders>
              <w:top w:val="nil"/>
              <w:left w:val="single" w:sz="4" w:space="0" w:color="auto"/>
              <w:bottom w:val="single" w:sz="4" w:space="0" w:color="auto"/>
              <w:right w:val="single" w:sz="4" w:space="0" w:color="auto"/>
            </w:tcBorders>
            <w:shd w:val="clear" w:color="000000" w:fill="E9EDF4"/>
            <w:vAlign w:val="center"/>
            <w:hideMark/>
          </w:tcPr>
          <w:p w:rsidR="00965927" w:rsidRPr="001F1499" w:rsidRDefault="00965927" w:rsidP="00F42E0C">
            <w:pPr>
              <w:jc w:val="center"/>
              <w:rPr>
                <w:b/>
                <w:bCs/>
                <w:color w:val="000000"/>
                <w:sz w:val="18"/>
                <w:szCs w:val="18"/>
              </w:rPr>
            </w:pPr>
            <w:r w:rsidRPr="001F1499">
              <w:rPr>
                <w:b/>
                <w:bCs/>
                <w:color w:val="000000"/>
                <w:sz w:val="18"/>
                <w:szCs w:val="18"/>
              </w:rPr>
              <w:t>Engaged (No.)</w:t>
            </w:r>
          </w:p>
        </w:tc>
        <w:tc>
          <w:tcPr>
            <w:tcW w:w="1515" w:type="dxa"/>
            <w:vMerge w:val="restart"/>
            <w:tcBorders>
              <w:top w:val="nil"/>
              <w:left w:val="single" w:sz="4" w:space="0" w:color="auto"/>
              <w:bottom w:val="single" w:sz="4" w:space="0" w:color="auto"/>
              <w:right w:val="single" w:sz="4" w:space="0" w:color="auto"/>
            </w:tcBorders>
            <w:shd w:val="clear" w:color="000000" w:fill="E9EDF4"/>
            <w:vAlign w:val="center"/>
            <w:hideMark/>
          </w:tcPr>
          <w:p w:rsidR="00965927" w:rsidRPr="001F1499" w:rsidRDefault="00965927" w:rsidP="00F42E0C">
            <w:pPr>
              <w:jc w:val="center"/>
              <w:rPr>
                <w:b/>
                <w:bCs/>
                <w:color w:val="000000"/>
                <w:sz w:val="18"/>
                <w:szCs w:val="18"/>
              </w:rPr>
            </w:pPr>
            <w:r w:rsidRPr="001F1499">
              <w:rPr>
                <w:b/>
                <w:bCs/>
                <w:color w:val="000000"/>
                <w:sz w:val="18"/>
                <w:szCs w:val="18"/>
              </w:rPr>
              <w:t>No. of consumers allotted</w:t>
            </w:r>
          </w:p>
        </w:tc>
      </w:tr>
      <w:tr w:rsidR="00965927" w:rsidRPr="001F1499" w:rsidTr="00F42E0C">
        <w:trPr>
          <w:trHeight w:val="288"/>
        </w:trPr>
        <w:tc>
          <w:tcPr>
            <w:tcW w:w="723" w:type="dxa"/>
            <w:vMerge/>
            <w:tcBorders>
              <w:top w:val="single" w:sz="4" w:space="0" w:color="auto"/>
              <w:left w:val="single" w:sz="4" w:space="0" w:color="auto"/>
              <w:bottom w:val="single" w:sz="4" w:space="0" w:color="auto"/>
              <w:right w:val="single" w:sz="4" w:space="0" w:color="auto"/>
            </w:tcBorders>
            <w:vAlign w:val="center"/>
            <w:hideMark/>
          </w:tcPr>
          <w:p w:rsidR="00965927" w:rsidRPr="001F1499" w:rsidRDefault="00965927" w:rsidP="00F42E0C">
            <w:pPr>
              <w:rPr>
                <w:b/>
                <w:bCs/>
                <w:color w:val="000000"/>
                <w:sz w:val="18"/>
                <w:szCs w:val="18"/>
              </w:rPr>
            </w:pPr>
          </w:p>
        </w:tc>
        <w:tc>
          <w:tcPr>
            <w:tcW w:w="1108" w:type="dxa"/>
            <w:vMerge/>
            <w:tcBorders>
              <w:top w:val="single" w:sz="4" w:space="0" w:color="auto"/>
              <w:left w:val="single" w:sz="4" w:space="0" w:color="auto"/>
              <w:bottom w:val="single" w:sz="4" w:space="0" w:color="auto"/>
              <w:right w:val="single" w:sz="4" w:space="0" w:color="auto"/>
            </w:tcBorders>
            <w:vAlign w:val="center"/>
            <w:hideMark/>
          </w:tcPr>
          <w:p w:rsidR="00965927" w:rsidRPr="001F1499" w:rsidRDefault="00965927" w:rsidP="00F42E0C">
            <w:pPr>
              <w:rPr>
                <w:b/>
                <w:bCs/>
                <w:color w:val="000000"/>
                <w:sz w:val="18"/>
                <w:szCs w:val="18"/>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rsidR="00965927" w:rsidRPr="001F1499" w:rsidRDefault="00965927" w:rsidP="00F42E0C">
            <w:pPr>
              <w:rPr>
                <w:b/>
                <w:bCs/>
                <w:color w:val="000000"/>
                <w:sz w:val="18"/>
                <w:szCs w:val="18"/>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965927" w:rsidRPr="001F1499" w:rsidRDefault="00965927" w:rsidP="00F42E0C">
            <w:pPr>
              <w:rPr>
                <w:b/>
                <w:bCs/>
                <w:color w:val="000000"/>
                <w:sz w:val="18"/>
                <w:szCs w:val="18"/>
              </w:rPr>
            </w:pPr>
          </w:p>
        </w:tc>
        <w:tc>
          <w:tcPr>
            <w:tcW w:w="1634" w:type="dxa"/>
            <w:vMerge/>
            <w:tcBorders>
              <w:top w:val="single" w:sz="4" w:space="0" w:color="auto"/>
              <w:left w:val="single" w:sz="4" w:space="0" w:color="auto"/>
              <w:bottom w:val="single" w:sz="4" w:space="0" w:color="auto"/>
              <w:right w:val="single" w:sz="4" w:space="0" w:color="auto"/>
            </w:tcBorders>
            <w:vAlign w:val="center"/>
            <w:hideMark/>
          </w:tcPr>
          <w:p w:rsidR="00965927" w:rsidRPr="001F1499" w:rsidRDefault="00965927" w:rsidP="00F42E0C">
            <w:pPr>
              <w:rPr>
                <w:b/>
                <w:bCs/>
                <w:color w:val="000000"/>
                <w:sz w:val="18"/>
                <w:szCs w:val="18"/>
              </w:rPr>
            </w:pPr>
          </w:p>
        </w:tc>
        <w:tc>
          <w:tcPr>
            <w:tcW w:w="894" w:type="dxa"/>
            <w:vMerge/>
            <w:tcBorders>
              <w:top w:val="single" w:sz="4" w:space="0" w:color="auto"/>
              <w:left w:val="single" w:sz="4" w:space="0" w:color="auto"/>
              <w:bottom w:val="single" w:sz="4" w:space="0" w:color="000000"/>
              <w:right w:val="single" w:sz="4" w:space="0" w:color="auto"/>
            </w:tcBorders>
            <w:vAlign w:val="center"/>
            <w:hideMark/>
          </w:tcPr>
          <w:p w:rsidR="00965927" w:rsidRPr="001F1499" w:rsidRDefault="00965927" w:rsidP="00F42E0C">
            <w:pPr>
              <w:rPr>
                <w:b/>
                <w:bCs/>
                <w:color w:val="000000"/>
                <w:sz w:val="18"/>
                <w:szCs w:val="18"/>
              </w:rPr>
            </w:pPr>
          </w:p>
        </w:tc>
        <w:tc>
          <w:tcPr>
            <w:tcW w:w="1276" w:type="dxa"/>
            <w:vMerge/>
            <w:tcBorders>
              <w:top w:val="nil"/>
              <w:left w:val="single" w:sz="4" w:space="0" w:color="auto"/>
              <w:bottom w:val="single" w:sz="4" w:space="0" w:color="auto"/>
              <w:right w:val="single" w:sz="4" w:space="0" w:color="auto"/>
            </w:tcBorders>
            <w:vAlign w:val="center"/>
            <w:hideMark/>
          </w:tcPr>
          <w:p w:rsidR="00965927" w:rsidRPr="001F1499" w:rsidRDefault="00965927" w:rsidP="00F42E0C">
            <w:pPr>
              <w:rPr>
                <w:b/>
                <w:bCs/>
                <w:color w:val="000000"/>
                <w:sz w:val="18"/>
                <w:szCs w:val="18"/>
              </w:rPr>
            </w:pPr>
          </w:p>
        </w:tc>
        <w:tc>
          <w:tcPr>
            <w:tcW w:w="1515" w:type="dxa"/>
            <w:vMerge/>
            <w:tcBorders>
              <w:top w:val="nil"/>
              <w:left w:val="single" w:sz="4" w:space="0" w:color="auto"/>
              <w:bottom w:val="single" w:sz="4" w:space="0" w:color="auto"/>
              <w:right w:val="single" w:sz="4" w:space="0" w:color="auto"/>
            </w:tcBorders>
            <w:vAlign w:val="center"/>
            <w:hideMark/>
          </w:tcPr>
          <w:p w:rsidR="00965927" w:rsidRPr="001F1499" w:rsidRDefault="00965927" w:rsidP="00F42E0C">
            <w:pPr>
              <w:rPr>
                <w:b/>
                <w:bCs/>
                <w:color w:val="000000"/>
                <w:sz w:val="18"/>
                <w:szCs w:val="18"/>
              </w:rPr>
            </w:pPr>
          </w:p>
        </w:tc>
      </w:tr>
      <w:tr w:rsidR="00965927" w:rsidRPr="001F1499" w:rsidTr="00F42E0C">
        <w:trPr>
          <w:trHeight w:val="480"/>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965927" w:rsidRPr="001F1499" w:rsidRDefault="00965927" w:rsidP="00F42E0C">
            <w:pPr>
              <w:jc w:val="center"/>
              <w:rPr>
                <w:color w:val="000000"/>
                <w:sz w:val="18"/>
                <w:szCs w:val="18"/>
              </w:rPr>
            </w:pPr>
            <w:r w:rsidRPr="001F1499">
              <w:rPr>
                <w:color w:val="000000"/>
                <w:sz w:val="18"/>
                <w:szCs w:val="18"/>
              </w:rPr>
              <w:t>1</w:t>
            </w:r>
          </w:p>
        </w:tc>
        <w:tc>
          <w:tcPr>
            <w:tcW w:w="1108" w:type="dxa"/>
            <w:tcBorders>
              <w:top w:val="nil"/>
              <w:left w:val="nil"/>
              <w:bottom w:val="single" w:sz="4" w:space="0" w:color="auto"/>
              <w:right w:val="single" w:sz="4" w:space="0" w:color="auto"/>
            </w:tcBorders>
            <w:shd w:val="clear" w:color="auto" w:fill="auto"/>
            <w:noWrap/>
            <w:vAlign w:val="center"/>
            <w:hideMark/>
          </w:tcPr>
          <w:p w:rsidR="00965927" w:rsidRPr="001F1499" w:rsidRDefault="00965927" w:rsidP="00F42E0C">
            <w:pPr>
              <w:jc w:val="center"/>
              <w:rPr>
                <w:color w:val="000000"/>
                <w:sz w:val="18"/>
                <w:szCs w:val="18"/>
              </w:rPr>
            </w:pPr>
            <w:r w:rsidRPr="001F1499">
              <w:rPr>
                <w:color w:val="000000"/>
                <w:sz w:val="18"/>
                <w:szCs w:val="18"/>
              </w:rPr>
              <w:t>Keonjhar</w:t>
            </w:r>
          </w:p>
        </w:tc>
        <w:tc>
          <w:tcPr>
            <w:tcW w:w="1018"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AED, Anandpur</w:t>
            </w:r>
          </w:p>
        </w:tc>
        <w:tc>
          <w:tcPr>
            <w:tcW w:w="1060"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Gh</w:t>
            </w:r>
            <w:r w:rsidRPr="00646916">
              <w:rPr>
                <w:color w:val="000000"/>
                <w:sz w:val="18"/>
                <w:szCs w:val="18"/>
              </w:rPr>
              <w:t>a</w:t>
            </w:r>
            <w:r w:rsidRPr="001F1499">
              <w:rPr>
                <w:color w:val="000000"/>
                <w:sz w:val="18"/>
                <w:szCs w:val="18"/>
              </w:rPr>
              <w:t>tagaon</w:t>
            </w:r>
          </w:p>
        </w:tc>
        <w:tc>
          <w:tcPr>
            <w:tcW w:w="1634"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Harichand</w:t>
            </w:r>
            <w:r w:rsidRPr="00646916">
              <w:rPr>
                <w:color w:val="000000"/>
                <w:sz w:val="18"/>
                <w:szCs w:val="18"/>
              </w:rPr>
              <w:t>a</w:t>
            </w:r>
            <w:r w:rsidRPr="001F1499">
              <w:rPr>
                <w:color w:val="000000"/>
                <w:sz w:val="18"/>
                <w:szCs w:val="18"/>
              </w:rPr>
              <w:t>npur</w:t>
            </w:r>
          </w:p>
        </w:tc>
        <w:tc>
          <w:tcPr>
            <w:tcW w:w="894"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25</w:t>
            </w:r>
          </w:p>
        </w:tc>
        <w:tc>
          <w:tcPr>
            <w:tcW w:w="1276"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21</w:t>
            </w:r>
          </w:p>
        </w:tc>
        <w:tc>
          <w:tcPr>
            <w:tcW w:w="1515"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18117</w:t>
            </w:r>
          </w:p>
        </w:tc>
      </w:tr>
      <w:tr w:rsidR="00965927" w:rsidRPr="001F1499" w:rsidTr="00F42E0C">
        <w:trPr>
          <w:trHeight w:val="480"/>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965927" w:rsidRPr="001F1499" w:rsidRDefault="00965927" w:rsidP="00F42E0C">
            <w:pPr>
              <w:jc w:val="center"/>
              <w:rPr>
                <w:color w:val="000000"/>
                <w:sz w:val="18"/>
                <w:szCs w:val="18"/>
              </w:rPr>
            </w:pPr>
            <w:r w:rsidRPr="001F1499">
              <w:rPr>
                <w:color w:val="000000"/>
                <w:sz w:val="18"/>
                <w:szCs w:val="18"/>
              </w:rPr>
              <w:t>2</w:t>
            </w:r>
          </w:p>
        </w:tc>
        <w:tc>
          <w:tcPr>
            <w:tcW w:w="1108" w:type="dxa"/>
            <w:tcBorders>
              <w:top w:val="nil"/>
              <w:left w:val="nil"/>
              <w:bottom w:val="single" w:sz="4" w:space="0" w:color="auto"/>
              <w:right w:val="single" w:sz="4" w:space="0" w:color="auto"/>
            </w:tcBorders>
            <w:shd w:val="clear" w:color="auto" w:fill="auto"/>
            <w:noWrap/>
            <w:vAlign w:val="center"/>
            <w:hideMark/>
          </w:tcPr>
          <w:p w:rsidR="00965927" w:rsidRPr="001F1499" w:rsidRDefault="00965927" w:rsidP="00F42E0C">
            <w:pPr>
              <w:jc w:val="center"/>
              <w:rPr>
                <w:color w:val="000000"/>
                <w:sz w:val="18"/>
                <w:szCs w:val="18"/>
              </w:rPr>
            </w:pPr>
            <w:r w:rsidRPr="001F1499">
              <w:rPr>
                <w:color w:val="000000"/>
                <w:sz w:val="18"/>
                <w:szCs w:val="18"/>
              </w:rPr>
              <w:t>Keonjhar</w:t>
            </w:r>
          </w:p>
        </w:tc>
        <w:tc>
          <w:tcPr>
            <w:tcW w:w="1018"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KED, Keonjhar</w:t>
            </w:r>
          </w:p>
        </w:tc>
        <w:tc>
          <w:tcPr>
            <w:tcW w:w="1060"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Keonjhar No- II</w:t>
            </w:r>
          </w:p>
        </w:tc>
        <w:tc>
          <w:tcPr>
            <w:tcW w:w="1634"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Telkoi</w:t>
            </w:r>
          </w:p>
        </w:tc>
        <w:tc>
          <w:tcPr>
            <w:tcW w:w="894"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22</w:t>
            </w:r>
          </w:p>
        </w:tc>
        <w:tc>
          <w:tcPr>
            <w:tcW w:w="1276"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9</w:t>
            </w:r>
          </w:p>
        </w:tc>
        <w:tc>
          <w:tcPr>
            <w:tcW w:w="1515"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10598</w:t>
            </w:r>
          </w:p>
        </w:tc>
      </w:tr>
      <w:tr w:rsidR="00965927" w:rsidRPr="001F1499" w:rsidTr="00F42E0C">
        <w:trPr>
          <w:trHeight w:val="480"/>
        </w:trPr>
        <w:tc>
          <w:tcPr>
            <w:tcW w:w="72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65927" w:rsidRPr="001F1499" w:rsidRDefault="00965927" w:rsidP="00F42E0C">
            <w:pPr>
              <w:jc w:val="center"/>
              <w:rPr>
                <w:color w:val="000000"/>
                <w:sz w:val="18"/>
                <w:szCs w:val="18"/>
              </w:rPr>
            </w:pPr>
            <w:r w:rsidRPr="001F1499">
              <w:rPr>
                <w:color w:val="000000"/>
                <w:sz w:val="18"/>
                <w:szCs w:val="18"/>
              </w:rPr>
              <w:t>3</w:t>
            </w:r>
          </w:p>
        </w:tc>
        <w:tc>
          <w:tcPr>
            <w:tcW w:w="110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965927" w:rsidRPr="001F1499" w:rsidRDefault="00965927" w:rsidP="00F42E0C">
            <w:pPr>
              <w:jc w:val="center"/>
              <w:rPr>
                <w:color w:val="000000"/>
                <w:sz w:val="18"/>
                <w:szCs w:val="18"/>
              </w:rPr>
            </w:pPr>
            <w:r w:rsidRPr="001F1499">
              <w:rPr>
                <w:color w:val="000000"/>
                <w:sz w:val="18"/>
                <w:szCs w:val="18"/>
              </w:rPr>
              <w:t>Keonjhar</w:t>
            </w:r>
          </w:p>
        </w:tc>
        <w:tc>
          <w:tcPr>
            <w:tcW w:w="1018" w:type="dxa"/>
            <w:vMerge w:val="restart"/>
            <w:tcBorders>
              <w:top w:val="nil"/>
              <w:left w:val="single" w:sz="4" w:space="0" w:color="auto"/>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KED, Keonjhar</w:t>
            </w:r>
          </w:p>
        </w:tc>
        <w:tc>
          <w:tcPr>
            <w:tcW w:w="1060" w:type="dxa"/>
            <w:vMerge w:val="restart"/>
            <w:tcBorders>
              <w:top w:val="nil"/>
              <w:left w:val="single" w:sz="4" w:space="0" w:color="auto"/>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Turumunga</w:t>
            </w:r>
          </w:p>
        </w:tc>
        <w:tc>
          <w:tcPr>
            <w:tcW w:w="1634"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Patna</w:t>
            </w:r>
          </w:p>
        </w:tc>
        <w:tc>
          <w:tcPr>
            <w:tcW w:w="894" w:type="dxa"/>
            <w:vMerge w:val="restart"/>
            <w:tcBorders>
              <w:top w:val="nil"/>
              <w:left w:val="single" w:sz="4" w:space="0" w:color="auto"/>
              <w:bottom w:val="single" w:sz="4" w:space="0" w:color="000000"/>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40</w:t>
            </w:r>
          </w:p>
        </w:tc>
        <w:tc>
          <w:tcPr>
            <w:tcW w:w="1276"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19</w:t>
            </w:r>
          </w:p>
        </w:tc>
        <w:tc>
          <w:tcPr>
            <w:tcW w:w="1515"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16331</w:t>
            </w:r>
          </w:p>
        </w:tc>
      </w:tr>
      <w:tr w:rsidR="00965927" w:rsidRPr="001F1499" w:rsidTr="00F42E0C">
        <w:trPr>
          <w:trHeight w:val="480"/>
        </w:trPr>
        <w:tc>
          <w:tcPr>
            <w:tcW w:w="723" w:type="dxa"/>
            <w:vMerge/>
            <w:tcBorders>
              <w:top w:val="nil"/>
              <w:left w:val="single" w:sz="4" w:space="0" w:color="auto"/>
              <w:bottom w:val="single" w:sz="4" w:space="0" w:color="auto"/>
              <w:right w:val="single" w:sz="4" w:space="0" w:color="auto"/>
            </w:tcBorders>
            <w:vAlign w:val="center"/>
            <w:hideMark/>
          </w:tcPr>
          <w:p w:rsidR="00965927" w:rsidRPr="001F1499" w:rsidRDefault="00965927" w:rsidP="00F42E0C">
            <w:pPr>
              <w:rPr>
                <w:color w:val="000000"/>
                <w:sz w:val="18"/>
                <w:szCs w:val="18"/>
              </w:rPr>
            </w:pPr>
          </w:p>
        </w:tc>
        <w:tc>
          <w:tcPr>
            <w:tcW w:w="1108" w:type="dxa"/>
            <w:vMerge/>
            <w:tcBorders>
              <w:top w:val="nil"/>
              <w:left w:val="single" w:sz="4" w:space="0" w:color="auto"/>
              <w:bottom w:val="single" w:sz="4" w:space="0" w:color="auto"/>
              <w:right w:val="single" w:sz="4" w:space="0" w:color="auto"/>
            </w:tcBorders>
            <w:vAlign w:val="center"/>
            <w:hideMark/>
          </w:tcPr>
          <w:p w:rsidR="00965927" w:rsidRPr="001F1499" w:rsidRDefault="00965927" w:rsidP="00F42E0C">
            <w:pPr>
              <w:rPr>
                <w:color w:val="000000"/>
                <w:sz w:val="18"/>
                <w:szCs w:val="18"/>
              </w:rPr>
            </w:pPr>
          </w:p>
        </w:tc>
        <w:tc>
          <w:tcPr>
            <w:tcW w:w="1018" w:type="dxa"/>
            <w:vMerge/>
            <w:tcBorders>
              <w:top w:val="nil"/>
              <w:left w:val="single" w:sz="4" w:space="0" w:color="auto"/>
              <w:bottom w:val="single" w:sz="4" w:space="0" w:color="auto"/>
              <w:right w:val="single" w:sz="4" w:space="0" w:color="auto"/>
            </w:tcBorders>
            <w:vAlign w:val="center"/>
            <w:hideMark/>
          </w:tcPr>
          <w:p w:rsidR="00965927" w:rsidRPr="001F1499" w:rsidRDefault="00965927" w:rsidP="00F42E0C">
            <w:pPr>
              <w:rPr>
                <w:color w:val="000000"/>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rsidR="00965927" w:rsidRPr="001F1499" w:rsidRDefault="00965927" w:rsidP="00F42E0C">
            <w:pPr>
              <w:rPr>
                <w:color w:val="000000"/>
                <w:sz w:val="18"/>
                <w:szCs w:val="18"/>
              </w:rPr>
            </w:pPr>
          </w:p>
        </w:tc>
        <w:tc>
          <w:tcPr>
            <w:tcW w:w="1634"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Champua</w:t>
            </w:r>
          </w:p>
        </w:tc>
        <w:tc>
          <w:tcPr>
            <w:tcW w:w="894" w:type="dxa"/>
            <w:vMerge/>
            <w:tcBorders>
              <w:top w:val="nil"/>
              <w:left w:val="single" w:sz="4" w:space="0" w:color="auto"/>
              <w:bottom w:val="single" w:sz="4" w:space="0" w:color="000000"/>
              <w:right w:val="single" w:sz="4" w:space="0" w:color="auto"/>
            </w:tcBorders>
            <w:vAlign w:val="center"/>
            <w:hideMark/>
          </w:tcPr>
          <w:p w:rsidR="00965927" w:rsidRPr="001F1499" w:rsidRDefault="00965927" w:rsidP="00F42E0C">
            <w:pPr>
              <w:rPr>
                <w:color w:val="000000"/>
                <w:sz w:val="18"/>
                <w:szCs w:val="18"/>
              </w:rPr>
            </w:pPr>
          </w:p>
        </w:tc>
        <w:tc>
          <w:tcPr>
            <w:tcW w:w="1276"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5</w:t>
            </w:r>
          </w:p>
        </w:tc>
        <w:tc>
          <w:tcPr>
            <w:tcW w:w="1515"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4461</w:t>
            </w:r>
          </w:p>
        </w:tc>
      </w:tr>
      <w:tr w:rsidR="00965927" w:rsidRPr="001F1499" w:rsidTr="00F42E0C">
        <w:trPr>
          <w:trHeight w:val="480"/>
        </w:trPr>
        <w:tc>
          <w:tcPr>
            <w:tcW w:w="723" w:type="dxa"/>
            <w:vMerge/>
            <w:tcBorders>
              <w:top w:val="nil"/>
              <w:left w:val="single" w:sz="4" w:space="0" w:color="auto"/>
              <w:bottom w:val="single" w:sz="4" w:space="0" w:color="auto"/>
              <w:right w:val="single" w:sz="4" w:space="0" w:color="auto"/>
            </w:tcBorders>
            <w:vAlign w:val="center"/>
            <w:hideMark/>
          </w:tcPr>
          <w:p w:rsidR="00965927" w:rsidRPr="001F1499" w:rsidRDefault="00965927" w:rsidP="00F42E0C">
            <w:pPr>
              <w:rPr>
                <w:color w:val="000000"/>
                <w:sz w:val="18"/>
                <w:szCs w:val="18"/>
              </w:rPr>
            </w:pPr>
          </w:p>
        </w:tc>
        <w:tc>
          <w:tcPr>
            <w:tcW w:w="1108" w:type="dxa"/>
            <w:vMerge/>
            <w:tcBorders>
              <w:top w:val="nil"/>
              <w:left w:val="single" w:sz="4" w:space="0" w:color="auto"/>
              <w:bottom w:val="single" w:sz="4" w:space="0" w:color="auto"/>
              <w:right w:val="single" w:sz="4" w:space="0" w:color="auto"/>
            </w:tcBorders>
            <w:vAlign w:val="center"/>
            <w:hideMark/>
          </w:tcPr>
          <w:p w:rsidR="00965927" w:rsidRPr="001F1499" w:rsidRDefault="00965927" w:rsidP="00F42E0C">
            <w:pPr>
              <w:rPr>
                <w:color w:val="000000"/>
                <w:sz w:val="18"/>
                <w:szCs w:val="18"/>
              </w:rPr>
            </w:pPr>
          </w:p>
        </w:tc>
        <w:tc>
          <w:tcPr>
            <w:tcW w:w="1018" w:type="dxa"/>
            <w:vMerge/>
            <w:tcBorders>
              <w:top w:val="nil"/>
              <w:left w:val="single" w:sz="4" w:space="0" w:color="auto"/>
              <w:bottom w:val="single" w:sz="4" w:space="0" w:color="auto"/>
              <w:right w:val="single" w:sz="4" w:space="0" w:color="auto"/>
            </w:tcBorders>
            <w:vAlign w:val="center"/>
            <w:hideMark/>
          </w:tcPr>
          <w:p w:rsidR="00965927" w:rsidRPr="001F1499" w:rsidRDefault="00965927" w:rsidP="00F42E0C">
            <w:pPr>
              <w:rPr>
                <w:color w:val="000000"/>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rsidR="00965927" w:rsidRPr="001F1499" w:rsidRDefault="00965927" w:rsidP="00F42E0C">
            <w:pPr>
              <w:rPr>
                <w:color w:val="000000"/>
                <w:sz w:val="18"/>
                <w:szCs w:val="18"/>
              </w:rPr>
            </w:pPr>
          </w:p>
        </w:tc>
        <w:tc>
          <w:tcPr>
            <w:tcW w:w="1634"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Sadar</w:t>
            </w:r>
          </w:p>
        </w:tc>
        <w:tc>
          <w:tcPr>
            <w:tcW w:w="894" w:type="dxa"/>
            <w:vMerge/>
            <w:tcBorders>
              <w:top w:val="nil"/>
              <w:left w:val="single" w:sz="4" w:space="0" w:color="auto"/>
              <w:bottom w:val="single" w:sz="4" w:space="0" w:color="000000"/>
              <w:right w:val="single" w:sz="4" w:space="0" w:color="auto"/>
            </w:tcBorders>
            <w:vAlign w:val="center"/>
            <w:hideMark/>
          </w:tcPr>
          <w:p w:rsidR="00965927" w:rsidRPr="001F1499" w:rsidRDefault="00965927" w:rsidP="00F42E0C">
            <w:pPr>
              <w:rPr>
                <w:color w:val="000000"/>
                <w:sz w:val="18"/>
                <w:szCs w:val="18"/>
              </w:rPr>
            </w:pPr>
          </w:p>
        </w:tc>
        <w:tc>
          <w:tcPr>
            <w:tcW w:w="1276"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1</w:t>
            </w:r>
          </w:p>
        </w:tc>
        <w:tc>
          <w:tcPr>
            <w:tcW w:w="1515"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1078</w:t>
            </w:r>
          </w:p>
        </w:tc>
      </w:tr>
      <w:tr w:rsidR="00965927" w:rsidRPr="001F1499" w:rsidTr="00F42E0C">
        <w:trPr>
          <w:trHeight w:val="480"/>
        </w:trPr>
        <w:tc>
          <w:tcPr>
            <w:tcW w:w="723" w:type="dxa"/>
            <w:vMerge/>
            <w:tcBorders>
              <w:top w:val="nil"/>
              <w:left w:val="single" w:sz="4" w:space="0" w:color="auto"/>
              <w:bottom w:val="single" w:sz="4" w:space="0" w:color="auto"/>
              <w:right w:val="single" w:sz="4" w:space="0" w:color="auto"/>
            </w:tcBorders>
            <w:vAlign w:val="center"/>
            <w:hideMark/>
          </w:tcPr>
          <w:p w:rsidR="00965927" w:rsidRPr="001F1499" w:rsidRDefault="00965927" w:rsidP="00F42E0C">
            <w:pPr>
              <w:rPr>
                <w:color w:val="000000"/>
                <w:sz w:val="18"/>
                <w:szCs w:val="18"/>
              </w:rPr>
            </w:pPr>
          </w:p>
        </w:tc>
        <w:tc>
          <w:tcPr>
            <w:tcW w:w="1108" w:type="dxa"/>
            <w:vMerge/>
            <w:tcBorders>
              <w:top w:val="nil"/>
              <w:left w:val="single" w:sz="4" w:space="0" w:color="auto"/>
              <w:bottom w:val="single" w:sz="4" w:space="0" w:color="auto"/>
              <w:right w:val="single" w:sz="4" w:space="0" w:color="auto"/>
            </w:tcBorders>
            <w:vAlign w:val="center"/>
            <w:hideMark/>
          </w:tcPr>
          <w:p w:rsidR="00965927" w:rsidRPr="001F1499" w:rsidRDefault="00965927" w:rsidP="00F42E0C">
            <w:pPr>
              <w:rPr>
                <w:color w:val="000000"/>
                <w:sz w:val="18"/>
                <w:szCs w:val="18"/>
              </w:rPr>
            </w:pPr>
          </w:p>
        </w:tc>
        <w:tc>
          <w:tcPr>
            <w:tcW w:w="1018" w:type="dxa"/>
            <w:vMerge/>
            <w:tcBorders>
              <w:top w:val="nil"/>
              <w:left w:val="single" w:sz="4" w:space="0" w:color="auto"/>
              <w:bottom w:val="single" w:sz="4" w:space="0" w:color="auto"/>
              <w:right w:val="single" w:sz="4" w:space="0" w:color="auto"/>
            </w:tcBorders>
            <w:vAlign w:val="center"/>
            <w:hideMark/>
          </w:tcPr>
          <w:p w:rsidR="00965927" w:rsidRPr="001F1499" w:rsidRDefault="00965927" w:rsidP="00F42E0C">
            <w:pPr>
              <w:rPr>
                <w:color w:val="000000"/>
                <w:sz w:val="18"/>
                <w:szCs w:val="18"/>
              </w:rPr>
            </w:pPr>
          </w:p>
        </w:tc>
        <w:tc>
          <w:tcPr>
            <w:tcW w:w="1060" w:type="dxa"/>
            <w:vMerge/>
            <w:tcBorders>
              <w:top w:val="nil"/>
              <w:left w:val="single" w:sz="4" w:space="0" w:color="auto"/>
              <w:bottom w:val="single" w:sz="4" w:space="0" w:color="auto"/>
              <w:right w:val="single" w:sz="4" w:space="0" w:color="auto"/>
            </w:tcBorders>
            <w:vAlign w:val="center"/>
            <w:hideMark/>
          </w:tcPr>
          <w:p w:rsidR="00965927" w:rsidRPr="001F1499" w:rsidRDefault="00965927" w:rsidP="00F42E0C">
            <w:pPr>
              <w:rPr>
                <w:color w:val="000000"/>
                <w:sz w:val="18"/>
                <w:szCs w:val="18"/>
              </w:rPr>
            </w:pPr>
          </w:p>
        </w:tc>
        <w:tc>
          <w:tcPr>
            <w:tcW w:w="1634"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Saharapada</w:t>
            </w:r>
          </w:p>
        </w:tc>
        <w:tc>
          <w:tcPr>
            <w:tcW w:w="894" w:type="dxa"/>
            <w:vMerge/>
            <w:tcBorders>
              <w:top w:val="nil"/>
              <w:left w:val="single" w:sz="4" w:space="0" w:color="auto"/>
              <w:bottom w:val="single" w:sz="4" w:space="0" w:color="000000"/>
              <w:right w:val="single" w:sz="4" w:space="0" w:color="auto"/>
            </w:tcBorders>
            <w:vAlign w:val="center"/>
            <w:hideMark/>
          </w:tcPr>
          <w:p w:rsidR="00965927" w:rsidRPr="001F1499" w:rsidRDefault="00965927" w:rsidP="00F42E0C">
            <w:pPr>
              <w:rPr>
                <w:color w:val="000000"/>
                <w:sz w:val="18"/>
                <w:szCs w:val="18"/>
              </w:rPr>
            </w:pPr>
          </w:p>
        </w:tc>
        <w:tc>
          <w:tcPr>
            <w:tcW w:w="1276"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16</w:t>
            </w:r>
          </w:p>
        </w:tc>
        <w:tc>
          <w:tcPr>
            <w:tcW w:w="1515"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13661</w:t>
            </w:r>
          </w:p>
        </w:tc>
      </w:tr>
      <w:tr w:rsidR="00965927" w:rsidRPr="001F1499" w:rsidTr="00F42E0C">
        <w:trPr>
          <w:trHeight w:val="480"/>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965927" w:rsidRPr="001F1499" w:rsidRDefault="00965927" w:rsidP="00F42E0C">
            <w:pPr>
              <w:jc w:val="center"/>
              <w:rPr>
                <w:color w:val="000000"/>
                <w:sz w:val="18"/>
                <w:szCs w:val="18"/>
              </w:rPr>
            </w:pPr>
            <w:r w:rsidRPr="001F1499">
              <w:rPr>
                <w:color w:val="000000"/>
                <w:sz w:val="18"/>
                <w:szCs w:val="18"/>
              </w:rPr>
              <w:t>4</w:t>
            </w:r>
          </w:p>
        </w:tc>
        <w:tc>
          <w:tcPr>
            <w:tcW w:w="1108" w:type="dxa"/>
            <w:tcBorders>
              <w:top w:val="nil"/>
              <w:left w:val="nil"/>
              <w:bottom w:val="single" w:sz="4" w:space="0" w:color="auto"/>
              <w:right w:val="single" w:sz="4" w:space="0" w:color="auto"/>
            </w:tcBorders>
            <w:shd w:val="clear" w:color="auto" w:fill="auto"/>
            <w:noWrap/>
            <w:vAlign w:val="center"/>
            <w:hideMark/>
          </w:tcPr>
          <w:p w:rsidR="00965927" w:rsidRPr="001F1499" w:rsidRDefault="00965927" w:rsidP="00F42E0C">
            <w:pPr>
              <w:jc w:val="center"/>
              <w:rPr>
                <w:color w:val="000000"/>
                <w:sz w:val="18"/>
                <w:szCs w:val="18"/>
              </w:rPr>
            </w:pPr>
            <w:r w:rsidRPr="001F1499">
              <w:rPr>
                <w:color w:val="000000"/>
                <w:sz w:val="18"/>
                <w:szCs w:val="18"/>
              </w:rPr>
              <w:t>Mayurbhanj</w:t>
            </w:r>
          </w:p>
        </w:tc>
        <w:tc>
          <w:tcPr>
            <w:tcW w:w="1018"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UED,Udala</w:t>
            </w:r>
          </w:p>
        </w:tc>
        <w:tc>
          <w:tcPr>
            <w:tcW w:w="1060"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Khunta</w:t>
            </w:r>
          </w:p>
        </w:tc>
        <w:tc>
          <w:tcPr>
            <w:tcW w:w="1634"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GB Nagar</w:t>
            </w:r>
          </w:p>
        </w:tc>
        <w:tc>
          <w:tcPr>
            <w:tcW w:w="894"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30</w:t>
            </w:r>
          </w:p>
        </w:tc>
        <w:tc>
          <w:tcPr>
            <w:tcW w:w="1276"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1</w:t>
            </w:r>
          </w:p>
        </w:tc>
        <w:tc>
          <w:tcPr>
            <w:tcW w:w="1515"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14355</w:t>
            </w:r>
          </w:p>
        </w:tc>
      </w:tr>
      <w:tr w:rsidR="00965927" w:rsidRPr="001F1499" w:rsidTr="00F42E0C">
        <w:trPr>
          <w:trHeight w:val="480"/>
        </w:trPr>
        <w:tc>
          <w:tcPr>
            <w:tcW w:w="723" w:type="dxa"/>
            <w:tcBorders>
              <w:top w:val="nil"/>
              <w:left w:val="single" w:sz="4" w:space="0" w:color="auto"/>
              <w:bottom w:val="single" w:sz="4" w:space="0" w:color="auto"/>
              <w:right w:val="single" w:sz="4" w:space="0" w:color="auto"/>
            </w:tcBorders>
            <w:shd w:val="clear" w:color="auto" w:fill="auto"/>
            <w:noWrap/>
            <w:vAlign w:val="center"/>
            <w:hideMark/>
          </w:tcPr>
          <w:p w:rsidR="00965927" w:rsidRPr="001F1499" w:rsidRDefault="00965927" w:rsidP="00F42E0C">
            <w:pPr>
              <w:jc w:val="center"/>
              <w:rPr>
                <w:color w:val="000000"/>
                <w:sz w:val="18"/>
                <w:szCs w:val="18"/>
              </w:rPr>
            </w:pPr>
            <w:r w:rsidRPr="001F1499">
              <w:rPr>
                <w:color w:val="000000"/>
                <w:sz w:val="18"/>
                <w:szCs w:val="18"/>
              </w:rPr>
              <w:t>5</w:t>
            </w:r>
          </w:p>
        </w:tc>
        <w:tc>
          <w:tcPr>
            <w:tcW w:w="1108" w:type="dxa"/>
            <w:tcBorders>
              <w:top w:val="nil"/>
              <w:left w:val="nil"/>
              <w:bottom w:val="single" w:sz="4" w:space="0" w:color="auto"/>
              <w:right w:val="single" w:sz="4" w:space="0" w:color="auto"/>
            </w:tcBorders>
            <w:shd w:val="clear" w:color="auto" w:fill="auto"/>
            <w:noWrap/>
            <w:vAlign w:val="center"/>
            <w:hideMark/>
          </w:tcPr>
          <w:p w:rsidR="00965927" w:rsidRPr="001F1499" w:rsidRDefault="00965927" w:rsidP="00F42E0C">
            <w:pPr>
              <w:jc w:val="center"/>
              <w:rPr>
                <w:color w:val="000000"/>
                <w:sz w:val="18"/>
                <w:szCs w:val="18"/>
              </w:rPr>
            </w:pPr>
            <w:r w:rsidRPr="001F1499">
              <w:rPr>
                <w:color w:val="000000"/>
                <w:sz w:val="18"/>
                <w:szCs w:val="18"/>
              </w:rPr>
              <w:t>Mayurbhanj</w:t>
            </w:r>
          </w:p>
        </w:tc>
        <w:tc>
          <w:tcPr>
            <w:tcW w:w="1018"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UED,Udala</w:t>
            </w:r>
          </w:p>
        </w:tc>
        <w:tc>
          <w:tcPr>
            <w:tcW w:w="1060"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Udala</w:t>
            </w:r>
          </w:p>
        </w:tc>
        <w:tc>
          <w:tcPr>
            <w:tcW w:w="1634"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Kaptipada</w:t>
            </w:r>
          </w:p>
        </w:tc>
        <w:tc>
          <w:tcPr>
            <w:tcW w:w="894"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13</w:t>
            </w:r>
          </w:p>
        </w:tc>
        <w:tc>
          <w:tcPr>
            <w:tcW w:w="1276"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13</w:t>
            </w:r>
          </w:p>
        </w:tc>
        <w:tc>
          <w:tcPr>
            <w:tcW w:w="1515"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color w:val="000000"/>
                <w:sz w:val="18"/>
                <w:szCs w:val="18"/>
              </w:rPr>
            </w:pPr>
            <w:r w:rsidRPr="001F1499">
              <w:rPr>
                <w:color w:val="000000"/>
                <w:sz w:val="18"/>
                <w:szCs w:val="18"/>
              </w:rPr>
              <w:t>14216</w:t>
            </w:r>
          </w:p>
        </w:tc>
      </w:tr>
      <w:tr w:rsidR="00965927" w:rsidRPr="001F1499" w:rsidTr="00F42E0C">
        <w:trPr>
          <w:trHeight w:val="480"/>
        </w:trPr>
        <w:tc>
          <w:tcPr>
            <w:tcW w:w="723" w:type="dxa"/>
            <w:tcBorders>
              <w:top w:val="nil"/>
              <w:left w:val="single" w:sz="4" w:space="0" w:color="auto"/>
              <w:bottom w:val="single" w:sz="4" w:space="0" w:color="auto"/>
              <w:right w:val="single" w:sz="4" w:space="0" w:color="auto"/>
            </w:tcBorders>
            <w:shd w:val="clear" w:color="auto" w:fill="auto"/>
            <w:noWrap/>
            <w:vAlign w:val="bottom"/>
            <w:hideMark/>
          </w:tcPr>
          <w:p w:rsidR="00965927" w:rsidRPr="001F1499" w:rsidRDefault="00965927" w:rsidP="00F42E0C">
            <w:pPr>
              <w:rPr>
                <w:color w:val="000000"/>
                <w:sz w:val="18"/>
                <w:szCs w:val="18"/>
              </w:rPr>
            </w:pPr>
            <w:r w:rsidRPr="001F1499">
              <w:rPr>
                <w:color w:val="000000"/>
                <w:sz w:val="18"/>
                <w:szCs w:val="18"/>
              </w:rPr>
              <w:t> </w:t>
            </w:r>
          </w:p>
        </w:tc>
        <w:tc>
          <w:tcPr>
            <w:tcW w:w="1108" w:type="dxa"/>
            <w:tcBorders>
              <w:top w:val="nil"/>
              <w:left w:val="nil"/>
              <w:bottom w:val="single" w:sz="4" w:space="0" w:color="auto"/>
              <w:right w:val="single" w:sz="4" w:space="0" w:color="auto"/>
            </w:tcBorders>
            <w:shd w:val="clear" w:color="auto" w:fill="auto"/>
            <w:noWrap/>
            <w:vAlign w:val="bottom"/>
            <w:hideMark/>
          </w:tcPr>
          <w:p w:rsidR="00965927" w:rsidRPr="001F1499" w:rsidRDefault="00965927" w:rsidP="00F42E0C">
            <w:pPr>
              <w:rPr>
                <w:color w:val="000000"/>
                <w:sz w:val="18"/>
                <w:szCs w:val="18"/>
              </w:rPr>
            </w:pPr>
            <w:r w:rsidRPr="001F1499">
              <w:rPr>
                <w:color w:val="000000"/>
                <w:sz w:val="18"/>
                <w:szCs w:val="18"/>
              </w:rPr>
              <w:t> </w:t>
            </w:r>
          </w:p>
        </w:tc>
        <w:tc>
          <w:tcPr>
            <w:tcW w:w="1018" w:type="dxa"/>
            <w:tcBorders>
              <w:top w:val="nil"/>
              <w:left w:val="nil"/>
              <w:bottom w:val="single" w:sz="4" w:space="0" w:color="auto"/>
              <w:right w:val="single" w:sz="4" w:space="0" w:color="auto"/>
            </w:tcBorders>
            <w:shd w:val="clear" w:color="auto" w:fill="auto"/>
            <w:noWrap/>
            <w:vAlign w:val="bottom"/>
            <w:hideMark/>
          </w:tcPr>
          <w:p w:rsidR="00965927" w:rsidRPr="001F1499" w:rsidRDefault="00965927" w:rsidP="00F42E0C">
            <w:pPr>
              <w:rPr>
                <w:color w:val="000000"/>
                <w:sz w:val="18"/>
                <w:szCs w:val="18"/>
              </w:rPr>
            </w:pPr>
            <w:r w:rsidRPr="001F1499">
              <w:rPr>
                <w:color w:val="000000"/>
                <w:sz w:val="18"/>
                <w:szCs w:val="18"/>
              </w:rPr>
              <w:t> </w:t>
            </w:r>
          </w:p>
        </w:tc>
        <w:tc>
          <w:tcPr>
            <w:tcW w:w="1060" w:type="dxa"/>
            <w:tcBorders>
              <w:top w:val="nil"/>
              <w:left w:val="nil"/>
              <w:bottom w:val="single" w:sz="4" w:space="0" w:color="auto"/>
              <w:right w:val="single" w:sz="4" w:space="0" w:color="auto"/>
            </w:tcBorders>
            <w:shd w:val="clear" w:color="auto" w:fill="auto"/>
            <w:noWrap/>
            <w:vAlign w:val="bottom"/>
            <w:hideMark/>
          </w:tcPr>
          <w:p w:rsidR="00965927" w:rsidRPr="001F1499" w:rsidRDefault="00965927" w:rsidP="00F42E0C">
            <w:pPr>
              <w:rPr>
                <w:color w:val="000000"/>
                <w:sz w:val="18"/>
                <w:szCs w:val="18"/>
              </w:rPr>
            </w:pPr>
            <w:r w:rsidRPr="001F1499">
              <w:rPr>
                <w:color w:val="000000"/>
                <w:sz w:val="18"/>
                <w:szCs w:val="18"/>
              </w:rPr>
              <w:t> </w:t>
            </w:r>
          </w:p>
        </w:tc>
        <w:tc>
          <w:tcPr>
            <w:tcW w:w="1634"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b/>
                <w:bCs/>
                <w:color w:val="000000"/>
                <w:sz w:val="18"/>
                <w:szCs w:val="18"/>
              </w:rPr>
            </w:pPr>
            <w:r w:rsidRPr="001F1499">
              <w:rPr>
                <w:b/>
                <w:bCs/>
                <w:color w:val="000000"/>
                <w:sz w:val="18"/>
                <w:szCs w:val="18"/>
              </w:rPr>
              <w:t>TOTAL</w:t>
            </w:r>
          </w:p>
        </w:tc>
        <w:tc>
          <w:tcPr>
            <w:tcW w:w="894" w:type="dxa"/>
            <w:tcBorders>
              <w:top w:val="nil"/>
              <w:left w:val="nil"/>
              <w:bottom w:val="single" w:sz="4" w:space="0" w:color="auto"/>
              <w:right w:val="single" w:sz="4" w:space="0" w:color="auto"/>
            </w:tcBorders>
            <w:shd w:val="clear" w:color="auto" w:fill="auto"/>
            <w:vAlign w:val="center"/>
            <w:hideMark/>
          </w:tcPr>
          <w:p w:rsidR="00965927" w:rsidRPr="001F1499" w:rsidRDefault="00965927" w:rsidP="00F42E0C">
            <w:pPr>
              <w:jc w:val="center"/>
              <w:rPr>
                <w:b/>
                <w:bCs/>
                <w:color w:val="000000"/>
                <w:sz w:val="18"/>
                <w:szCs w:val="18"/>
              </w:rPr>
            </w:pPr>
            <w:r w:rsidRPr="001F1499">
              <w:rPr>
                <w:b/>
                <w:bCs/>
                <w:color w:val="000000"/>
                <w:sz w:val="18"/>
                <w:szCs w:val="18"/>
              </w:rPr>
              <w:t>130</w:t>
            </w:r>
          </w:p>
        </w:tc>
        <w:tc>
          <w:tcPr>
            <w:tcW w:w="1276" w:type="dxa"/>
            <w:tcBorders>
              <w:top w:val="nil"/>
              <w:left w:val="nil"/>
              <w:bottom w:val="single" w:sz="4" w:space="0" w:color="auto"/>
              <w:right w:val="single" w:sz="4" w:space="0" w:color="auto"/>
            </w:tcBorders>
            <w:shd w:val="clear" w:color="auto" w:fill="auto"/>
            <w:noWrap/>
            <w:vAlign w:val="center"/>
            <w:hideMark/>
          </w:tcPr>
          <w:p w:rsidR="00965927" w:rsidRPr="001F1499" w:rsidRDefault="00965927" w:rsidP="00F42E0C">
            <w:pPr>
              <w:jc w:val="center"/>
              <w:rPr>
                <w:b/>
                <w:bCs/>
                <w:color w:val="000000"/>
                <w:sz w:val="18"/>
                <w:szCs w:val="18"/>
              </w:rPr>
            </w:pPr>
            <w:r w:rsidRPr="001F1499">
              <w:rPr>
                <w:b/>
                <w:bCs/>
                <w:color w:val="000000"/>
                <w:sz w:val="18"/>
                <w:szCs w:val="18"/>
              </w:rPr>
              <w:t>85</w:t>
            </w:r>
          </w:p>
        </w:tc>
        <w:tc>
          <w:tcPr>
            <w:tcW w:w="1515" w:type="dxa"/>
            <w:tcBorders>
              <w:top w:val="nil"/>
              <w:left w:val="nil"/>
              <w:bottom w:val="single" w:sz="4" w:space="0" w:color="auto"/>
              <w:right w:val="single" w:sz="4" w:space="0" w:color="auto"/>
            </w:tcBorders>
            <w:shd w:val="clear" w:color="auto" w:fill="auto"/>
            <w:noWrap/>
            <w:vAlign w:val="center"/>
            <w:hideMark/>
          </w:tcPr>
          <w:p w:rsidR="00965927" w:rsidRPr="001F1499" w:rsidRDefault="00965927" w:rsidP="00F42E0C">
            <w:pPr>
              <w:jc w:val="center"/>
              <w:rPr>
                <w:b/>
                <w:bCs/>
                <w:color w:val="000000"/>
                <w:sz w:val="18"/>
                <w:szCs w:val="18"/>
              </w:rPr>
            </w:pPr>
            <w:r w:rsidRPr="001F1499">
              <w:rPr>
                <w:b/>
                <w:bCs/>
                <w:color w:val="000000"/>
                <w:sz w:val="18"/>
                <w:szCs w:val="18"/>
              </w:rPr>
              <w:t>92817</w:t>
            </w:r>
          </w:p>
        </w:tc>
      </w:tr>
    </w:tbl>
    <w:p w:rsidR="00B6438F" w:rsidRDefault="00B6438F" w:rsidP="00B6438F"/>
    <w:p w:rsidR="00965927" w:rsidRDefault="00965927" w:rsidP="00B6438F"/>
    <w:p w:rsidR="00965927" w:rsidRPr="00965927" w:rsidRDefault="00965927" w:rsidP="00965927">
      <w:pPr>
        <w:spacing w:line="360" w:lineRule="auto"/>
        <w:jc w:val="both"/>
        <w:rPr>
          <w:rFonts w:ascii="Book Antiqua" w:hAnsi="Book Antiqua" w:cs="Arial"/>
          <w:color w:val="000000"/>
        </w:rPr>
      </w:pPr>
      <w:r w:rsidRPr="00965927">
        <w:rPr>
          <w:rFonts w:ascii="Book Antiqua" w:hAnsi="Book Antiqua" w:cs="Arial"/>
          <w:color w:val="000000"/>
        </w:rPr>
        <w:t xml:space="preserve">In this regard, we have already conducted orientation training in Chandbali block for selected 48 nos of WSHGs and also for the selected WSHGs under Kaptipada. By the </w:t>
      </w:r>
      <w:r w:rsidRPr="00965927">
        <w:rPr>
          <w:rFonts w:ascii="Book Antiqua" w:hAnsi="Book Antiqua" w:cs="Arial"/>
          <w:color w:val="000000"/>
        </w:rPr>
        <w:lastRenderedPageBreak/>
        <w:t>end of the ensuing  financial year we are planning to make functional 250 nos. of WSHGs. To each WSHG one machine(printer) is being provided .</w:t>
      </w:r>
    </w:p>
    <w:p w:rsidR="00965927" w:rsidRPr="00B6438F" w:rsidRDefault="00965927" w:rsidP="00B6438F"/>
    <w:p w:rsidR="004276A0" w:rsidRDefault="00C638DC" w:rsidP="00C3616B">
      <w:pPr>
        <w:pStyle w:val="Heading1"/>
        <w:numPr>
          <w:ilvl w:val="2"/>
          <w:numId w:val="1"/>
        </w:numPr>
        <w:spacing w:line="360" w:lineRule="auto"/>
        <w:jc w:val="both"/>
        <w:rPr>
          <w:rFonts w:ascii="Cambria" w:hAnsi="Cambria"/>
          <w:sz w:val="24"/>
          <w:szCs w:val="24"/>
        </w:rPr>
      </w:pPr>
      <w:bookmarkStart w:id="12" w:name="_Toc25850917"/>
      <w:r>
        <w:rPr>
          <w:rFonts w:ascii="Cambria" w:hAnsi="Cambria"/>
          <w:sz w:val="24"/>
          <w:szCs w:val="24"/>
        </w:rPr>
        <w:t>IT Automation</w:t>
      </w:r>
      <w:bookmarkEnd w:id="12"/>
    </w:p>
    <w:p w:rsidR="00C3616B" w:rsidRPr="00C525F2" w:rsidRDefault="00C3616B" w:rsidP="00C3616B">
      <w:pPr>
        <w:spacing w:line="360" w:lineRule="auto"/>
        <w:jc w:val="both"/>
        <w:rPr>
          <w:rFonts w:ascii="Cambria" w:hAnsi="Cambria" w:cs="Arial"/>
        </w:rPr>
      </w:pPr>
      <w:r w:rsidRPr="00C525F2">
        <w:rPr>
          <w:rFonts w:ascii="Cambria" w:hAnsi="Cambria" w:cs="Arial"/>
        </w:rPr>
        <w:t>NESCO, being a spearhead</w:t>
      </w:r>
      <w:r w:rsidR="00C525F2">
        <w:rPr>
          <w:rFonts w:ascii="Cambria" w:hAnsi="Cambria" w:cs="Arial"/>
        </w:rPr>
        <w:t xml:space="preserve"> </w:t>
      </w:r>
      <w:r w:rsidRPr="00C525F2">
        <w:rPr>
          <w:rFonts w:ascii="Cambria" w:hAnsi="Cambria" w:cs="Arial"/>
        </w:rPr>
        <w:t>electricity distribution utility of the state of Odisha, is providing uninterrupted power supp</w:t>
      </w:r>
      <w:r w:rsidR="003A637B">
        <w:rPr>
          <w:rFonts w:ascii="Cambria" w:hAnsi="Cambria" w:cs="Arial"/>
        </w:rPr>
        <w:t>ly to more than 19</w:t>
      </w:r>
      <w:r w:rsidRPr="00C525F2">
        <w:rPr>
          <w:rFonts w:ascii="Cambria" w:hAnsi="Cambria" w:cs="Arial"/>
        </w:rPr>
        <w:t xml:space="preserve"> lakh consumers of North- Eastern part of Odisha. Over the years, NESCO has implemented several IT applications to improve its performance in billing,collection and day-to- day works.</w:t>
      </w:r>
    </w:p>
    <w:p w:rsidR="003A637B" w:rsidRPr="003A637B" w:rsidRDefault="003A637B" w:rsidP="00C3616B">
      <w:pPr>
        <w:spacing w:line="360" w:lineRule="auto"/>
        <w:jc w:val="both"/>
        <w:rPr>
          <w:rFonts w:asciiTheme="majorHAnsi" w:hAnsiTheme="majorHAnsi" w:cs="Arial"/>
          <w:color w:val="000000"/>
        </w:rPr>
      </w:pPr>
    </w:p>
    <w:p w:rsidR="00C3616B" w:rsidRPr="003A637B" w:rsidRDefault="00C3616B" w:rsidP="00C3616B">
      <w:pPr>
        <w:spacing w:line="360" w:lineRule="auto"/>
        <w:jc w:val="both"/>
        <w:rPr>
          <w:rFonts w:asciiTheme="majorHAnsi" w:hAnsiTheme="majorHAnsi" w:cs="Arial"/>
          <w:color w:val="000000"/>
        </w:rPr>
      </w:pPr>
      <w:r w:rsidRPr="003A637B">
        <w:rPr>
          <w:rFonts w:asciiTheme="majorHAnsi" w:hAnsiTheme="majorHAnsi" w:cs="Arial"/>
          <w:color w:val="000000"/>
        </w:rPr>
        <w:t>Now, in NESCO</w:t>
      </w:r>
      <w:r w:rsidR="003A637B" w:rsidRPr="003A637B">
        <w:rPr>
          <w:rFonts w:asciiTheme="majorHAnsi" w:hAnsiTheme="majorHAnsi" w:cs="Arial"/>
          <w:color w:val="000000"/>
        </w:rPr>
        <w:t xml:space="preserve"> </w:t>
      </w:r>
      <w:r w:rsidRPr="003A637B">
        <w:rPr>
          <w:rFonts w:asciiTheme="majorHAnsi" w:hAnsiTheme="majorHAnsi" w:cs="Arial"/>
          <w:color w:val="000000"/>
        </w:rPr>
        <w:t>Utilit</w:t>
      </w:r>
      <w:r w:rsidR="003A637B" w:rsidRPr="003A637B">
        <w:rPr>
          <w:rFonts w:asciiTheme="majorHAnsi" w:hAnsiTheme="majorHAnsi" w:cs="Arial"/>
          <w:color w:val="000000"/>
        </w:rPr>
        <w:t>y, we are using approximately 39</w:t>
      </w:r>
      <w:r w:rsidRPr="003A637B">
        <w:rPr>
          <w:rFonts w:asciiTheme="majorHAnsi" w:hAnsiTheme="majorHAnsi" w:cs="Arial"/>
          <w:color w:val="000000"/>
        </w:rPr>
        <w:t>5 n</w:t>
      </w:r>
      <w:r w:rsidR="003A637B" w:rsidRPr="003A637B">
        <w:rPr>
          <w:rFonts w:asciiTheme="majorHAnsi" w:hAnsiTheme="majorHAnsi" w:cs="Arial"/>
          <w:color w:val="000000"/>
        </w:rPr>
        <w:t>os. of desktops and 19</w:t>
      </w:r>
      <w:r w:rsidRPr="003A637B">
        <w:rPr>
          <w:rFonts w:asciiTheme="majorHAnsi" w:hAnsiTheme="majorHAnsi" w:cs="Arial"/>
          <w:color w:val="000000"/>
        </w:rPr>
        <w:t>0 nos. of laptops.</w:t>
      </w:r>
      <w:r w:rsidR="003A637B" w:rsidRPr="003A637B">
        <w:rPr>
          <w:rFonts w:asciiTheme="majorHAnsi" w:hAnsiTheme="majorHAnsi" w:cs="Arial"/>
          <w:color w:val="000000"/>
        </w:rPr>
        <w:t xml:space="preserve"> </w:t>
      </w:r>
      <w:r w:rsidRPr="003A637B">
        <w:rPr>
          <w:rFonts w:asciiTheme="majorHAnsi" w:hAnsiTheme="majorHAnsi" w:cs="Arial"/>
          <w:color w:val="000000"/>
        </w:rPr>
        <w:t>Of these, 210 nos. of desktops and 30 nos. of laptops were purchased in</w:t>
      </w:r>
      <w:r w:rsidR="003A637B" w:rsidRPr="003A637B">
        <w:rPr>
          <w:rFonts w:asciiTheme="majorHAnsi" w:hAnsiTheme="majorHAnsi" w:cs="Arial"/>
          <w:color w:val="000000"/>
        </w:rPr>
        <w:t xml:space="preserve"> the years between 2005 and 2012</w:t>
      </w:r>
      <w:r w:rsidRPr="003A637B">
        <w:rPr>
          <w:rFonts w:asciiTheme="majorHAnsi" w:hAnsiTheme="majorHAnsi" w:cs="Arial"/>
          <w:color w:val="000000"/>
        </w:rPr>
        <w:t>. Due to increase in data and the fact that maximum works are being done through system and in an online mode, these systems are not working properly because of their outdated specifications. This is causing delays in completion of day- to- day works and assignments.</w:t>
      </w:r>
      <w:r w:rsidR="003A637B" w:rsidRPr="003A637B">
        <w:rPr>
          <w:rFonts w:asciiTheme="majorHAnsi" w:hAnsiTheme="majorHAnsi" w:cs="Arial"/>
          <w:color w:val="000000"/>
        </w:rPr>
        <w:t xml:space="preserve"> </w:t>
      </w:r>
      <w:r w:rsidRPr="003A637B">
        <w:rPr>
          <w:rFonts w:asciiTheme="majorHAnsi" w:hAnsiTheme="majorHAnsi" w:cs="Arial"/>
          <w:color w:val="000000"/>
        </w:rPr>
        <w:t>We have already processed to purchase some new Desktop &amp; laptop in buy back mode and other IT items</w:t>
      </w:r>
    </w:p>
    <w:p w:rsidR="003A637B" w:rsidRPr="003A637B" w:rsidRDefault="003A637B" w:rsidP="00C3616B">
      <w:pPr>
        <w:spacing w:line="360" w:lineRule="auto"/>
        <w:jc w:val="both"/>
        <w:rPr>
          <w:rFonts w:asciiTheme="majorHAnsi" w:hAnsiTheme="majorHAnsi" w:cs="Arial"/>
          <w:color w:val="000000"/>
        </w:rPr>
      </w:pPr>
    </w:p>
    <w:p w:rsidR="00C3616B" w:rsidRPr="003A637B" w:rsidRDefault="00C3616B" w:rsidP="00C3616B">
      <w:pPr>
        <w:spacing w:line="360" w:lineRule="auto"/>
        <w:jc w:val="both"/>
        <w:rPr>
          <w:rFonts w:asciiTheme="majorHAnsi" w:hAnsiTheme="majorHAnsi" w:cs="Arial"/>
          <w:color w:val="000000"/>
        </w:rPr>
      </w:pPr>
      <w:r w:rsidRPr="003A637B">
        <w:rPr>
          <w:rFonts w:asciiTheme="majorHAnsi" w:hAnsiTheme="majorHAnsi" w:cs="Arial"/>
          <w:color w:val="000000"/>
        </w:rPr>
        <w:t>We are in the process of implementing some online application for Stores, billing and collection systems. These require systems with the latest specifications</w:t>
      </w:r>
      <w:r w:rsidR="003A637B" w:rsidRPr="003A637B">
        <w:rPr>
          <w:rFonts w:asciiTheme="majorHAnsi" w:hAnsiTheme="majorHAnsi" w:cs="Arial"/>
          <w:color w:val="000000"/>
        </w:rPr>
        <w:t xml:space="preserve"> </w:t>
      </w:r>
      <w:r w:rsidRPr="003A637B">
        <w:rPr>
          <w:rFonts w:asciiTheme="majorHAnsi" w:hAnsiTheme="majorHAnsi" w:cs="Arial"/>
          <w:color w:val="000000"/>
        </w:rPr>
        <w:t>system. Due to the older version of the operating system, some applications and advanced software</w:t>
      </w:r>
      <w:r w:rsidR="003A637B" w:rsidRPr="003A637B">
        <w:rPr>
          <w:rFonts w:asciiTheme="majorHAnsi" w:hAnsiTheme="majorHAnsi" w:cs="Arial"/>
          <w:color w:val="000000"/>
        </w:rPr>
        <w:t xml:space="preserve"> </w:t>
      </w:r>
      <w:r w:rsidRPr="003A637B">
        <w:rPr>
          <w:rFonts w:asciiTheme="majorHAnsi" w:hAnsiTheme="majorHAnsi" w:cs="Arial"/>
          <w:color w:val="000000"/>
        </w:rPr>
        <w:t>will not be supported.</w:t>
      </w:r>
    </w:p>
    <w:p w:rsidR="00C3616B" w:rsidRPr="003A637B" w:rsidRDefault="00C3616B" w:rsidP="00C3616B">
      <w:pPr>
        <w:spacing w:line="360" w:lineRule="auto"/>
        <w:jc w:val="both"/>
        <w:rPr>
          <w:rFonts w:asciiTheme="majorHAnsi" w:hAnsiTheme="majorHAnsi"/>
        </w:rPr>
      </w:pPr>
      <w:r w:rsidRPr="003A637B">
        <w:rPr>
          <w:rFonts w:asciiTheme="majorHAnsi" w:hAnsiTheme="majorHAnsi"/>
        </w:rPr>
        <w:t>The existing plans of IT to implement are as below.</w:t>
      </w:r>
    </w:p>
    <w:p w:rsidR="00C3616B" w:rsidRPr="003A637B" w:rsidRDefault="00C3616B" w:rsidP="006935E2">
      <w:pPr>
        <w:pStyle w:val="ListParagraph"/>
        <w:numPr>
          <w:ilvl w:val="0"/>
          <w:numId w:val="27"/>
        </w:numPr>
        <w:spacing w:after="160" w:line="360" w:lineRule="auto"/>
        <w:jc w:val="both"/>
        <w:rPr>
          <w:rFonts w:asciiTheme="majorHAnsi" w:hAnsiTheme="majorHAnsi"/>
          <w:sz w:val="24"/>
          <w:szCs w:val="24"/>
        </w:rPr>
      </w:pPr>
      <w:r w:rsidRPr="003A637B">
        <w:rPr>
          <w:rFonts w:asciiTheme="majorHAnsi" w:hAnsiTheme="majorHAnsi"/>
          <w:sz w:val="24"/>
          <w:szCs w:val="24"/>
        </w:rPr>
        <w:t>Gateway Level Security through UTM</w:t>
      </w:r>
    </w:p>
    <w:p w:rsidR="00C3616B" w:rsidRPr="003A637B" w:rsidRDefault="00C3616B" w:rsidP="006935E2">
      <w:pPr>
        <w:pStyle w:val="ListParagraph"/>
        <w:numPr>
          <w:ilvl w:val="0"/>
          <w:numId w:val="27"/>
        </w:numPr>
        <w:spacing w:after="160" w:line="360" w:lineRule="auto"/>
        <w:jc w:val="both"/>
        <w:rPr>
          <w:rFonts w:asciiTheme="majorHAnsi" w:hAnsiTheme="majorHAnsi"/>
          <w:sz w:val="24"/>
          <w:szCs w:val="24"/>
        </w:rPr>
      </w:pPr>
      <w:r w:rsidRPr="003A637B">
        <w:rPr>
          <w:rFonts w:asciiTheme="majorHAnsi" w:hAnsiTheme="majorHAnsi"/>
          <w:sz w:val="24"/>
          <w:szCs w:val="24"/>
        </w:rPr>
        <w:t>Video conferencing</w:t>
      </w:r>
    </w:p>
    <w:p w:rsidR="00C3616B" w:rsidRPr="003A637B" w:rsidRDefault="00C3616B" w:rsidP="006935E2">
      <w:pPr>
        <w:pStyle w:val="ListParagraph"/>
        <w:numPr>
          <w:ilvl w:val="0"/>
          <w:numId w:val="27"/>
        </w:numPr>
        <w:spacing w:after="160" w:line="360" w:lineRule="auto"/>
        <w:jc w:val="both"/>
        <w:rPr>
          <w:rFonts w:asciiTheme="majorHAnsi" w:hAnsiTheme="majorHAnsi"/>
          <w:sz w:val="24"/>
          <w:szCs w:val="24"/>
        </w:rPr>
      </w:pPr>
      <w:r w:rsidRPr="003A637B">
        <w:rPr>
          <w:rFonts w:asciiTheme="majorHAnsi" w:hAnsiTheme="majorHAnsi"/>
          <w:sz w:val="24"/>
          <w:szCs w:val="24"/>
        </w:rPr>
        <w:t>Structured LAN in the Corp. Office</w:t>
      </w:r>
    </w:p>
    <w:p w:rsidR="00C3616B" w:rsidRPr="003A637B" w:rsidRDefault="00C3616B" w:rsidP="006935E2">
      <w:pPr>
        <w:pStyle w:val="ListParagraph"/>
        <w:numPr>
          <w:ilvl w:val="0"/>
          <w:numId w:val="27"/>
        </w:numPr>
        <w:spacing w:after="160" w:line="360" w:lineRule="auto"/>
        <w:jc w:val="both"/>
        <w:rPr>
          <w:rFonts w:asciiTheme="majorHAnsi" w:hAnsiTheme="majorHAnsi"/>
          <w:sz w:val="24"/>
          <w:szCs w:val="24"/>
        </w:rPr>
      </w:pPr>
      <w:r w:rsidRPr="003A637B">
        <w:rPr>
          <w:rFonts w:asciiTheme="majorHAnsi" w:hAnsiTheme="majorHAnsi"/>
          <w:sz w:val="24"/>
          <w:szCs w:val="24"/>
        </w:rPr>
        <w:t>Up-gradation of AMR</w:t>
      </w:r>
    </w:p>
    <w:p w:rsidR="00C3616B" w:rsidRPr="003A637B" w:rsidRDefault="00C3616B" w:rsidP="006935E2">
      <w:pPr>
        <w:pStyle w:val="ListParagraph"/>
        <w:numPr>
          <w:ilvl w:val="0"/>
          <w:numId w:val="27"/>
        </w:numPr>
        <w:spacing w:after="160" w:line="360" w:lineRule="auto"/>
        <w:jc w:val="both"/>
        <w:rPr>
          <w:rFonts w:asciiTheme="majorHAnsi" w:hAnsiTheme="majorHAnsi"/>
          <w:sz w:val="24"/>
          <w:szCs w:val="24"/>
        </w:rPr>
      </w:pPr>
      <w:r w:rsidRPr="003A637B">
        <w:rPr>
          <w:rFonts w:asciiTheme="majorHAnsi" w:hAnsiTheme="majorHAnsi"/>
          <w:sz w:val="24"/>
          <w:szCs w:val="24"/>
        </w:rPr>
        <w:t>Leased line Internet connection for each circle office</w:t>
      </w:r>
    </w:p>
    <w:p w:rsidR="00C3616B" w:rsidRPr="003A637B" w:rsidRDefault="00C3616B" w:rsidP="006935E2">
      <w:pPr>
        <w:pStyle w:val="ListParagraph"/>
        <w:numPr>
          <w:ilvl w:val="0"/>
          <w:numId w:val="27"/>
        </w:numPr>
        <w:spacing w:after="160" w:line="360" w:lineRule="auto"/>
        <w:jc w:val="both"/>
        <w:rPr>
          <w:rFonts w:asciiTheme="majorHAnsi" w:hAnsiTheme="majorHAnsi"/>
          <w:sz w:val="24"/>
          <w:szCs w:val="24"/>
        </w:rPr>
      </w:pPr>
      <w:r w:rsidRPr="003A637B">
        <w:rPr>
          <w:rFonts w:asciiTheme="majorHAnsi" w:hAnsiTheme="majorHAnsi"/>
          <w:sz w:val="24"/>
          <w:szCs w:val="24"/>
        </w:rPr>
        <w:t>Centralised data backup in the Corp. Office</w:t>
      </w:r>
    </w:p>
    <w:p w:rsidR="00C3616B" w:rsidRPr="003A637B" w:rsidRDefault="00C3616B" w:rsidP="006935E2">
      <w:pPr>
        <w:pStyle w:val="ListParagraph"/>
        <w:numPr>
          <w:ilvl w:val="0"/>
          <w:numId w:val="27"/>
        </w:numPr>
        <w:spacing w:after="160" w:line="360" w:lineRule="auto"/>
        <w:jc w:val="both"/>
        <w:rPr>
          <w:rFonts w:asciiTheme="majorHAnsi" w:hAnsiTheme="majorHAnsi"/>
          <w:sz w:val="24"/>
          <w:szCs w:val="24"/>
        </w:rPr>
      </w:pPr>
      <w:r w:rsidRPr="003A637B">
        <w:rPr>
          <w:rFonts w:asciiTheme="majorHAnsi" w:hAnsiTheme="majorHAnsi"/>
          <w:sz w:val="24"/>
          <w:szCs w:val="24"/>
        </w:rPr>
        <w:t>Up-gradation of systems and printers.</w:t>
      </w:r>
    </w:p>
    <w:p w:rsidR="00C3616B" w:rsidRPr="003A637B" w:rsidRDefault="00C3616B" w:rsidP="00C3616B">
      <w:pPr>
        <w:spacing w:line="360" w:lineRule="auto"/>
        <w:ind w:left="360"/>
        <w:jc w:val="both"/>
        <w:rPr>
          <w:rFonts w:asciiTheme="majorHAnsi" w:hAnsiTheme="majorHAnsi"/>
          <w:b/>
        </w:rPr>
      </w:pPr>
      <w:r w:rsidRPr="003A637B">
        <w:rPr>
          <w:rFonts w:asciiTheme="majorHAnsi" w:hAnsiTheme="majorHAnsi"/>
          <w:b/>
        </w:rPr>
        <w:t xml:space="preserve">The approx. cost to do the above plan is Rs </w:t>
      </w:r>
      <w:r w:rsidR="00BF5314" w:rsidRPr="003A637B">
        <w:rPr>
          <w:rFonts w:asciiTheme="majorHAnsi" w:hAnsiTheme="majorHAnsi"/>
          <w:b/>
        </w:rPr>
        <w:t xml:space="preserve">2.00 crores </w:t>
      </w:r>
      <w:r w:rsidR="003A637B" w:rsidRPr="003A637B">
        <w:rPr>
          <w:rFonts w:asciiTheme="majorHAnsi" w:hAnsiTheme="majorHAnsi"/>
          <w:b/>
        </w:rPr>
        <w:t xml:space="preserve">only. </w:t>
      </w:r>
    </w:p>
    <w:p w:rsidR="00C3616B" w:rsidRPr="003A637B" w:rsidRDefault="00C3616B" w:rsidP="00C3616B">
      <w:pPr>
        <w:spacing w:line="360" w:lineRule="auto"/>
        <w:ind w:left="360"/>
        <w:jc w:val="both"/>
        <w:rPr>
          <w:rFonts w:asciiTheme="majorHAnsi" w:hAnsiTheme="majorHAnsi"/>
        </w:rPr>
      </w:pPr>
      <w:r w:rsidRPr="003A637B">
        <w:rPr>
          <w:rFonts w:asciiTheme="majorHAnsi" w:hAnsiTheme="majorHAnsi"/>
        </w:rPr>
        <w:t>To more strengthen the IT and extend the facility to section level, we are planning to purchase some Desktop/Laptop and other IT items. The details are as below.</w:t>
      </w:r>
    </w:p>
    <w:p w:rsidR="00C3616B" w:rsidRPr="003A637B" w:rsidRDefault="00C3616B" w:rsidP="006935E2">
      <w:pPr>
        <w:pStyle w:val="ListParagraph"/>
        <w:numPr>
          <w:ilvl w:val="0"/>
          <w:numId w:val="28"/>
        </w:numPr>
        <w:spacing w:after="160" w:line="360" w:lineRule="auto"/>
        <w:jc w:val="both"/>
        <w:rPr>
          <w:rFonts w:asciiTheme="majorHAnsi" w:hAnsiTheme="majorHAnsi"/>
          <w:sz w:val="24"/>
          <w:szCs w:val="24"/>
        </w:rPr>
      </w:pPr>
      <w:r w:rsidRPr="003A637B">
        <w:rPr>
          <w:rFonts w:asciiTheme="majorHAnsi" w:hAnsiTheme="majorHAnsi"/>
          <w:sz w:val="24"/>
          <w:szCs w:val="24"/>
        </w:rPr>
        <w:lastRenderedPageBreak/>
        <w:t>Cloud based Enterprise End point Security</w:t>
      </w:r>
    </w:p>
    <w:p w:rsidR="00C3616B" w:rsidRPr="003A637B" w:rsidRDefault="00C3616B" w:rsidP="006935E2">
      <w:pPr>
        <w:pStyle w:val="ListParagraph"/>
        <w:numPr>
          <w:ilvl w:val="0"/>
          <w:numId w:val="28"/>
        </w:numPr>
        <w:spacing w:after="160" w:line="360" w:lineRule="auto"/>
        <w:jc w:val="both"/>
        <w:rPr>
          <w:rFonts w:asciiTheme="majorHAnsi" w:hAnsiTheme="majorHAnsi"/>
          <w:sz w:val="24"/>
          <w:szCs w:val="24"/>
        </w:rPr>
      </w:pPr>
      <w:r w:rsidRPr="003A637B">
        <w:rPr>
          <w:rFonts w:asciiTheme="majorHAnsi" w:hAnsiTheme="majorHAnsi"/>
          <w:sz w:val="24"/>
          <w:szCs w:val="24"/>
        </w:rPr>
        <w:t>LAN ( Local Area Network) in circle and Divisions office</w:t>
      </w:r>
    </w:p>
    <w:p w:rsidR="00C3616B" w:rsidRPr="003A637B" w:rsidRDefault="00C3616B" w:rsidP="006935E2">
      <w:pPr>
        <w:pStyle w:val="ListParagraph"/>
        <w:numPr>
          <w:ilvl w:val="0"/>
          <w:numId w:val="28"/>
        </w:numPr>
        <w:spacing w:after="160" w:line="360" w:lineRule="auto"/>
        <w:jc w:val="both"/>
        <w:rPr>
          <w:rFonts w:asciiTheme="majorHAnsi" w:hAnsiTheme="majorHAnsi"/>
          <w:sz w:val="24"/>
          <w:szCs w:val="24"/>
        </w:rPr>
      </w:pPr>
      <w:r w:rsidRPr="003A637B">
        <w:rPr>
          <w:rFonts w:asciiTheme="majorHAnsi" w:hAnsiTheme="majorHAnsi"/>
          <w:sz w:val="24"/>
          <w:szCs w:val="24"/>
        </w:rPr>
        <w:t xml:space="preserve">Automated/ online  Call Centre ( from 8 AM to 8 PM) </w:t>
      </w:r>
    </w:p>
    <w:p w:rsidR="00C3616B" w:rsidRPr="003A637B" w:rsidRDefault="00C3616B" w:rsidP="006935E2">
      <w:pPr>
        <w:pStyle w:val="ListParagraph"/>
        <w:numPr>
          <w:ilvl w:val="0"/>
          <w:numId w:val="28"/>
        </w:numPr>
        <w:spacing w:after="160" w:line="360" w:lineRule="auto"/>
        <w:jc w:val="both"/>
        <w:rPr>
          <w:rFonts w:asciiTheme="majorHAnsi" w:hAnsiTheme="majorHAnsi"/>
          <w:sz w:val="24"/>
          <w:szCs w:val="24"/>
        </w:rPr>
      </w:pPr>
      <w:r w:rsidRPr="003A637B">
        <w:rPr>
          <w:rFonts w:asciiTheme="majorHAnsi" w:hAnsiTheme="majorHAnsi"/>
          <w:sz w:val="24"/>
          <w:szCs w:val="24"/>
        </w:rPr>
        <w:t>Internet to all Section office.</w:t>
      </w:r>
    </w:p>
    <w:p w:rsidR="00C3616B" w:rsidRPr="003A637B" w:rsidRDefault="00C3616B" w:rsidP="006935E2">
      <w:pPr>
        <w:pStyle w:val="ListParagraph"/>
        <w:numPr>
          <w:ilvl w:val="0"/>
          <w:numId w:val="28"/>
        </w:numPr>
        <w:spacing w:after="160" w:line="360" w:lineRule="auto"/>
        <w:jc w:val="both"/>
        <w:rPr>
          <w:rFonts w:asciiTheme="majorHAnsi" w:hAnsiTheme="majorHAnsi"/>
          <w:sz w:val="24"/>
          <w:szCs w:val="24"/>
        </w:rPr>
      </w:pPr>
      <w:r w:rsidRPr="003A637B">
        <w:rPr>
          <w:rFonts w:asciiTheme="majorHAnsi" w:hAnsiTheme="majorHAnsi"/>
          <w:sz w:val="24"/>
          <w:szCs w:val="24"/>
        </w:rPr>
        <w:t>computerised cash collection counter in each section office</w:t>
      </w:r>
    </w:p>
    <w:p w:rsidR="00C3616B" w:rsidRPr="003A637B" w:rsidRDefault="00C3616B" w:rsidP="006935E2">
      <w:pPr>
        <w:pStyle w:val="ListParagraph"/>
        <w:numPr>
          <w:ilvl w:val="0"/>
          <w:numId w:val="28"/>
        </w:numPr>
        <w:spacing w:after="160" w:line="360" w:lineRule="auto"/>
        <w:jc w:val="both"/>
        <w:rPr>
          <w:rFonts w:asciiTheme="majorHAnsi" w:hAnsiTheme="majorHAnsi"/>
          <w:sz w:val="24"/>
          <w:szCs w:val="24"/>
        </w:rPr>
      </w:pPr>
      <w:r w:rsidRPr="003A637B">
        <w:rPr>
          <w:rFonts w:asciiTheme="majorHAnsi" w:hAnsiTheme="majorHAnsi"/>
          <w:sz w:val="24"/>
          <w:szCs w:val="24"/>
        </w:rPr>
        <w:t>Man power for each circle and Division office ( IT person)</w:t>
      </w:r>
    </w:p>
    <w:p w:rsidR="009943BE" w:rsidRPr="00343567" w:rsidRDefault="00C3616B" w:rsidP="00343567">
      <w:pPr>
        <w:spacing w:line="360" w:lineRule="auto"/>
        <w:jc w:val="both"/>
        <w:rPr>
          <w:rFonts w:ascii="Cambria" w:hAnsi="Cambria" w:cs="Arial"/>
        </w:rPr>
      </w:pPr>
      <w:r w:rsidRPr="003A637B">
        <w:rPr>
          <w:rFonts w:asciiTheme="majorHAnsi" w:hAnsiTheme="majorHAnsi"/>
        </w:rPr>
        <w:t xml:space="preserve">In addition to the networking cost and to </w:t>
      </w:r>
      <w:r w:rsidR="00343567" w:rsidRPr="003A637B">
        <w:rPr>
          <w:rFonts w:asciiTheme="majorHAnsi" w:hAnsiTheme="majorHAnsi"/>
        </w:rPr>
        <w:t xml:space="preserve">implement </w:t>
      </w:r>
      <w:r w:rsidRPr="003A637B">
        <w:rPr>
          <w:rFonts w:asciiTheme="majorHAnsi" w:hAnsiTheme="majorHAnsi"/>
        </w:rPr>
        <w:t xml:space="preserve">various Web based </w:t>
      </w:r>
      <w:r w:rsidR="00343567" w:rsidRPr="003A637B">
        <w:rPr>
          <w:rFonts w:asciiTheme="majorHAnsi" w:hAnsiTheme="majorHAnsi"/>
        </w:rPr>
        <w:t>application</w:t>
      </w:r>
      <w:r w:rsidRPr="003A637B">
        <w:rPr>
          <w:rFonts w:asciiTheme="majorHAnsi" w:hAnsiTheme="majorHAnsi"/>
        </w:rPr>
        <w:t xml:space="preserve"> and for the software development</w:t>
      </w:r>
      <w:r w:rsidR="00343567" w:rsidRPr="003A637B">
        <w:rPr>
          <w:rFonts w:asciiTheme="majorHAnsi" w:hAnsiTheme="majorHAnsi"/>
        </w:rPr>
        <w:t xml:space="preserve"> in th</w:t>
      </w:r>
      <w:r w:rsidR="006164DC" w:rsidRPr="003A637B">
        <w:rPr>
          <w:rFonts w:asciiTheme="majorHAnsi" w:hAnsiTheme="majorHAnsi"/>
        </w:rPr>
        <w:t>e Utility</w:t>
      </w:r>
      <w:r w:rsidR="00343567" w:rsidRPr="003A637B">
        <w:rPr>
          <w:rFonts w:asciiTheme="majorHAnsi" w:hAnsiTheme="majorHAnsi"/>
        </w:rPr>
        <w:t xml:space="preserve"> </w:t>
      </w:r>
      <w:r w:rsidR="009943BE" w:rsidRPr="003A637B">
        <w:rPr>
          <w:rFonts w:asciiTheme="majorHAnsi" w:hAnsiTheme="majorHAnsi" w:cs="Arial"/>
        </w:rPr>
        <w:t xml:space="preserve">the Licensee has proposed its yearly revenue expenditure of </w:t>
      </w:r>
      <w:r w:rsidR="009943BE" w:rsidRPr="003A637B">
        <w:rPr>
          <w:rFonts w:asciiTheme="majorHAnsi" w:hAnsiTheme="majorHAnsi" w:cs="Arial"/>
          <w:b/>
        </w:rPr>
        <w:t xml:space="preserve">Rs </w:t>
      </w:r>
      <w:r w:rsidR="00BF5314" w:rsidRPr="003A637B">
        <w:rPr>
          <w:rFonts w:asciiTheme="majorHAnsi" w:hAnsiTheme="majorHAnsi" w:cs="Arial"/>
          <w:b/>
        </w:rPr>
        <w:t>2.00</w:t>
      </w:r>
      <w:r w:rsidR="009943BE" w:rsidRPr="003A637B">
        <w:rPr>
          <w:rFonts w:asciiTheme="majorHAnsi" w:hAnsiTheme="majorHAnsi" w:cs="Arial"/>
          <w:b/>
        </w:rPr>
        <w:t xml:space="preserve">  Crore</w:t>
      </w:r>
      <w:r w:rsidR="009943BE" w:rsidRPr="003A637B">
        <w:rPr>
          <w:rFonts w:asciiTheme="majorHAnsi" w:hAnsiTheme="majorHAnsi" w:cs="Arial"/>
        </w:rPr>
        <w:t xml:space="preserve"> under A&amp;G category for the ensuing year.</w:t>
      </w:r>
    </w:p>
    <w:p w:rsidR="004276A0" w:rsidRPr="00BF0E9D" w:rsidRDefault="00C75917" w:rsidP="004276A0">
      <w:pPr>
        <w:pStyle w:val="Caption"/>
        <w:keepNext/>
        <w:spacing w:line="360" w:lineRule="auto"/>
        <w:rPr>
          <w:rFonts w:ascii="Cambria" w:hAnsi="Cambria" w:cs="Arial"/>
          <w:b/>
          <w:sz w:val="24"/>
          <w:szCs w:val="24"/>
        </w:rPr>
      </w:pPr>
      <w:r>
        <w:rPr>
          <w:rFonts w:ascii="Cambria" w:hAnsi="Cambria" w:cs="Arial"/>
          <w:b/>
          <w:sz w:val="24"/>
          <w:szCs w:val="24"/>
        </w:rPr>
        <w:t>Additional A&amp;G Cost for FY 2020</w:t>
      </w:r>
      <w:r w:rsidR="00D41263">
        <w:rPr>
          <w:rFonts w:ascii="Cambria" w:hAnsi="Cambria" w:cs="Arial"/>
          <w:b/>
          <w:sz w:val="24"/>
          <w:szCs w:val="24"/>
        </w:rPr>
        <w:t>-2</w:t>
      </w:r>
      <w:r>
        <w:rPr>
          <w:rFonts w:ascii="Cambria" w:hAnsi="Cambria" w:cs="Arial"/>
          <w:b/>
          <w:sz w:val="24"/>
          <w:szCs w:val="24"/>
        </w:rPr>
        <w:t>1</w:t>
      </w:r>
      <w:r w:rsidR="004276A0" w:rsidRPr="00BF0E9D">
        <w:rPr>
          <w:rFonts w:ascii="Cambria" w:hAnsi="Cambria" w:cs="Arial"/>
          <w:b/>
          <w:sz w:val="24"/>
          <w:szCs w:val="24"/>
        </w:rPr>
        <w:t>.</w:t>
      </w:r>
    </w:p>
    <w:tbl>
      <w:tblPr>
        <w:tblW w:w="8764"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115" w:type="dxa"/>
          <w:right w:w="115" w:type="dxa"/>
        </w:tblCellMar>
        <w:tblLook w:val="0020"/>
      </w:tblPr>
      <w:tblGrid>
        <w:gridCol w:w="956"/>
        <w:gridCol w:w="4959"/>
        <w:gridCol w:w="2849"/>
      </w:tblGrid>
      <w:tr w:rsidR="004276A0" w:rsidRPr="00BF0E9D" w:rsidTr="00331D79">
        <w:trPr>
          <w:trHeight w:val="467"/>
        </w:trPr>
        <w:tc>
          <w:tcPr>
            <w:tcW w:w="0" w:type="auto"/>
            <w:shd w:val="solid" w:color="000080" w:fill="FFFFFF"/>
          </w:tcPr>
          <w:p w:rsidR="004276A0" w:rsidRPr="00BF0E9D" w:rsidRDefault="004276A0" w:rsidP="000334F1">
            <w:pPr>
              <w:pStyle w:val="BodyText2"/>
              <w:spacing w:before="0" w:after="0" w:line="360" w:lineRule="auto"/>
              <w:jc w:val="both"/>
              <w:rPr>
                <w:rFonts w:ascii="Cambria" w:hAnsi="Cambria" w:cs="Arial"/>
                <w:b/>
                <w:bCs/>
                <w:color w:val="FFFFFF"/>
                <w:sz w:val="24"/>
                <w:szCs w:val="24"/>
                <w:lang w:val="en-GB"/>
              </w:rPr>
            </w:pPr>
            <w:r w:rsidRPr="00BF0E9D">
              <w:rPr>
                <w:rFonts w:ascii="Cambria" w:hAnsi="Cambria" w:cs="Arial"/>
                <w:b/>
                <w:bCs/>
                <w:color w:val="FFFFFF"/>
                <w:sz w:val="24"/>
                <w:szCs w:val="24"/>
                <w:lang w:val="en-GB"/>
              </w:rPr>
              <w:t>S.No</w:t>
            </w:r>
          </w:p>
        </w:tc>
        <w:tc>
          <w:tcPr>
            <w:tcW w:w="0" w:type="auto"/>
            <w:shd w:val="solid" w:color="000080" w:fill="FFFFFF"/>
          </w:tcPr>
          <w:p w:rsidR="004276A0" w:rsidRPr="00BF0E9D" w:rsidRDefault="004276A0" w:rsidP="000334F1">
            <w:pPr>
              <w:pStyle w:val="BodyText2"/>
              <w:spacing w:before="0" w:after="0" w:line="360" w:lineRule="auto"/>
              <w:jc w:val="both"/>
              <w:rPr>
                <w:rFonts w:ascii="Cambria" w:hAnsi="Cambria" w:cs="Arial"/>
                <w:b/>
                <w:bCs/>
                <w:color w:val="FFFFFF"/>
                <w:sz w:val="24"/>
                <w:szCs w:val="24"/>
                <w:lang w:val="en-GB"/>
              </w:rPr>
            </w:pPr>
            <w:r w:rsidRPr="00BF0E9D">
              <w:rPr>
                <w:rFonts w:ascii="Cambria" w:hAnsi="Cambria" w:cs="Arial"/>
                <w:b/>
                <w:bCs/>
                <w:color w:val="FFFFFF"/>
                <w:sz w:val="24"/>
                <w:szCs w:val="24"/>
                <w:lang w:val="en-GB"/>
              </w:rPr>
              <w:t>Description</w:t>
            </w:r>
          </w:p>
        </w:tc>
        <w:tc>
          <w:tcPr>
            <w:tcW w:w="0" w:type="auto"/>
            <w:shd w:val="solid" w:color="000080" w:fill="FFFFFF"/>
          </w:tcPr>
          <w:p w:rsidR="004276A0" w:rsidRPr="00BF0E9D" w:rsidRDefault="004276A0" w:rsidP="000334F1">
            <w:pPr>
              <w:pStyle w:val="BodyText2"/>
              <w:spacing w:before="0" w:after="0" w:line="360" w:lineRule="auto"/>
              <w:jc w:val="both"/>
              <w:rPr>
                <w:rFonts w:ascii="Cambria" w:hAnsi="Cambria" w:cs="Arial"/>
                <w:b/>
                <w:bCs/>
                <w:color w:val="FFFFFF"/>
                <w:sz w:val="24"/>
                <w:szCs w:val="24"/>
                <w:lang w:val="en-GB"/>
              </w:rPr>
            </w:pPr>
            <w:r w:rsidRPr="00BF0E9D">
              <w:rPr>
                <w:rFonts w:ascii="Cambria" w:hAnsi="Cambria" w:cs="Arial"/>
                <w:b/>
                <w:bCs/>
                <w:color w:val="FFFFFF"/>
                <w:sz w:val="24"/>
                <w:szCs w:val="24"/>
                <w:lang w:val="en-GB"/>
              </w:rPr>
              <w:t>Amount(Rs Lacs)</w:t>
            </w:r>
          </w:p>
        </w:tc>
      </w:tr>
      <w:tr w:rsidR="004276A0" w:rsidRPr="00BF0E9D" w:rsidTr="00331D79">
        <w:trPr>
          <w:trHeight w:val="319"/>
        </w:trPr>
        <w:tc>
          <w:tcPr>
            <w:tcW w:w="0" w:type="auto"/>
            <w:shd w:val="clear" w:color="auto" w:fill="FFFFFF"/>
          </w:tcPr>
          <w:p w:rsidR="004276A0" w:rsidRPr="00BF0E9D" w:rsidRDefault="0053568C" w:rsidP="006164DC">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1</w:t>
            </w:r>
          </w:p>
        </w:tc>
        <w:tc>
          <w:tcPr>
            <w:tcW w:w="0" w:type="auto"/>
            <w:shd w:val="clear" w:color="auto" w:fill="FFFFFF"/>
          </w:tcPr>
          <w:p w:rsidR="004276A0" w:rsidRPr="00BF0E9D" w:rsidRDefault="004276A0" w:rsidP="000334F1">
            <w:pPr>
              <w:pStyle w:val="BodyText2"/>
              <w:spacing w:before="0" w:after="0" w:line="360" w:lineRule="auto"/>
              <w:jc w:val="both"/>
              <w:rPr>
                <w:rFonts w:ascii="Cambria" w:hAnsi="Cambria" w:cs="Arial"/>
                <w:bCs/>
                <w:sz w:val="24"/>
                <w:szCs w:val="24"/>
                <w:lang w:val="en-GB"/>
              </w:rPr>
            </w:pPr>
            <w:r w:rsidRPr="00BF0E9D">
              <w:rPr>
                <w:rFonts w:ascii="Cambria" w:hAnsi="Cambria" w:cs="Arial"/>
                <w:bCs/>
                <w:sz w:val="24"/>
                <w:szCs w:val="24"/>
                <w:lang w:val="en-GB"/>
              </w:rPr>
              <w:t>Energy Audit-Recurring cost</w:t>
            </w:r>
          </w:p>
        </w:tc>
        <w:tc>
          <w:tcPr>
            <w:tcW w:w="0" w:type="auto"/>
            <w:shd w:val="clear" w:color="auto" w:fill="FFFFFF"/>
          </w:tcPr>
          <w:p w:rsidR="004276A0" w:rsidRPr="00CD4B6E" w:rsidRDefault="00BF5314" w:rsidP="00BF5314">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470.86</w:t>
            </w:r>
          </w:p>
        </w:tc>
      </w:tr>
      <w:tr w:rsidR="00D41263" w:rsidRPr="00BF0E9D" w:rsidTr="00331D79">
        <w:trPr>
          <w:trHeight w:val="319"/>
        </w:trPr>
        <w:tc>
          <w:tcPr>
            <w:tcW w:w="0" w:type="auto"/>
            <w:shd w:val="clear" w:color="auto" w:fill="FFFFFF"/>
          </w:tcPr>
          <w:p w:rsidR="00D41263" w:rsidRDefault="00DF51C6" w:rsidP="006164DC">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2</w:t>
            </w:r>
          </w:p>
        </w:tc>
        <w:tc>
          <w:tcPr>
            <w:tcW w:w="0" w:type="auto"/>
            <w:shd w:val="clear" w:color="auto" w:fill="FFFFFF"/>
          </w:tcPr>
          <w:p w:rsidR="00D41263" w:rsidRPr="00BF0E9D" w:rsidRDefault="00DF51C6" w:rsidP="000334F1">
            <w:pPr>
              <w:pStyle w:val="BodyText2"/>
              <w:spacing w:before="0" w:after="0" w:line="360" w:lineRule="auto"/>
              <w:jc w:val="both"/>
              <w:rPr>
                <w:rFonts w:ascii="Cambria" w:hAnsi="Cambria" w:cs="Arial"/>
                <w:bCs/>
                <w:sz w:val="24"/>
                <w:szCs w:val="24"/>
                <w:lang w:val="en-GB"/>
              </w:rPr>
            </w:pPr>
            <w:r>
              <w:rPr>
                <w:rFonts w:ascii="Cambria" w:hAnsi="Cambria" w:cs="Arial"/>
                <w:bCs/>
                <w:sz w:val="24"/>
                <w:szCs w:val="24"/>
                <w:lang w:val="en-GB"/>
              </w:rPr>
              <w:t>Smart Metering Implementation</w:t>
            </w:r>
          </w:p>
        </w:tc>
        <w:tc>
          <w:tcPr>
            <w:tcW w:w="0" w:type="auto"/>
            <w:shd w:val="clear" w:color="auto" w:fill="FFFFFF"/>
          </w:tcPr>
          <w:p w:rsidR="00D41263" w:rsidRDefault="00DF51C6" w:rsidP="00CD4B6E">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100.00</w:t>
            </w:r>
          </w:p>
        </w:tc>
      </w:tr>
      <w:tr w:rsidR="0053568C" w:rsidRPr="00BF0E9D" w:rsidTr="00331D79">
        <w:trPr>
          <w:trHeight w:val="331"/>
        </w:trPr>
        <w:tc>
          <w:tcPr>
            <w:tcW w:w="0" w:type="auto"/>
            <w:shd w:val="clear" w:color="auto" w:fill="FFFFFF"/>
          </w:tcPr>
          <w:p w:rsidR="0053568C" w:rsidRPr="00BF0E9D" w:rsidRDefault="00DF51C6" w:rsidP="006164DC">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3</w:t>
            </w:r>
          </w:p>
        </w:tc>
        <w:tc>
          <w:tcPr>
            <w:tcW w:w="0" w:type="auto"/>
            <w:shd w:val="clear" w:color="auto" w:fill="FFFFFF"/>
          </w:tcPr>
          <w:p w:rsidR="0053568C" w:rsidRPr="00BF0E9D" w:rsidRDefault="00DF51C6" w:rsidP="00D715EA">
            <w:pPr>
              <w:pStyle w:val="BodyText2"/>
              <w:spacing w:before="0" w:after="0" w:line="360" w:lineRule="auto"/>
              <w:jc w:val="both"/>
              <w:rPr>
                <w:rFonts w:ascii="Cambria" w:hAnsi="Cambria" w:cs="Arial"/>
                <w:bCs/>
                <w:sz w:val="24"/>
                <w:szCs w:val="24"/>
                <w:lang w:val="en-GB"/>
              </w:rPr>
            </w:pPr>
            <w:r>
              <w:rPr>
                <w:rFonts w:ascii="Cambria" w:hAnsi="Cambria" w:cs="Arial"/>
                <w:bCs/>
                <w:sz w:val="24"/>
                <w:szCs w:val="24"/>
                <w:lang w:val="en-GB"/>
              </w:rPr>
              <w:t>AMR related running expenditure</w:t>
            </w:r>
          </w:p>
        </w:tc>
        <w:tc>
          <w:tcPr>
            <w:tcW w:w="0" w:type="auto"/>
            <w:shd w:val="clear" w:color="auto" w:fill="FFFFFF"/>
          </w:tcPr>
          <w:p w:rsidR="0053568C" w:rsidRPr="00CD4B6E" w:rsidRDefault="00DF51C6" w:rsidP="00D630E9">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8.00</w:t>
            </w:r>
          </w:p>
        </w:tc>
      </w:tr>
      <w:tr w:rsidR="00DF51C6" w:rsidRPr="00BF0E9D" w:rsidTr="00331D79">
        <w:trPr>
          <w:trHeight w:val="331"/>
        </w:trPr>
        <w:tc>
          <w:tcPr>
            <w:tcW w:w="0" w:type="auto"/>
            <w:shd w:val="clear" w:color="auto" w:fill="FFFFFF"/>
          </w:tcPr>
          <w:p w:rsidR="00DF51C6" w:rsidRDefault="00BF5314" w:rsidP="00BF5314">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4</w:t>
            </w:r>
          </w:p>
        </w:tc>
        <w:tc>
          <w:tcPr>
            <w:tcW w:w="0" w:type="auto"/>
            <w:shd w:val="clear" w:color="auto" w:fill="FFFFFF"/>
          </w:tcPr>
          <w:p w:rsidR="00DF51C6" w:rsidRDefault="00DF51C6" w:rsidP="00D715EA">
            <w:pPr>
              <w:pStyle w:val="BodyText2"/>
              <w:spacing w:before="0" w:after="0" w:line="360" w:lineRule="auto"/>
              <w:jc w:val="both"/>
              <w:rPr>
                <w:rFonts w:ascii="Cambria" w:hAnsi="Cambria" w:cs="Arial"/>
                <w:bCs/>
                <w:sz w:val="24"/>
                <w:szCs w:val="24"/>
                <w:lang w:val="en-GB"/>
              </w:rPr>
            </w:pPr>
            <w:r>
              <w:rPr>
                <w:rFonts w:ascii="Cambria" w:hAnsi="Cambria" w:cs="Arial"/>
                <w:bCs/>
                <w:sz w:val="24"/>
                <w:szCs w:val="24"/>
                <w:lang w:val="en-GB"/>
              </w:rPr>
              <w:t>Media Campaigning Expenditure</w:t>
            </w:r>
          </w:p>
        </w:tc>
        <w:tc>
          <w:tcPr>
            <w:tcW w:w="0" w:type="auto"/>
            <w:shd w:val="clear" w:color="auto" w:fill="FFFFFF"/>
          </w:tcPr>
          <w:p w:rsidR="00DF51C6" w:rsidRDefault="00DF51C6" w:rsidP="00D630E9">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50.00</w:t>
            </w:r>
          </w:p>
        </w:tc>
      </w:tr>
      <w:tr w:rsidR="0053568C" w:rsidRPr="00BF0E9D" w:rsidTr="00331D79">
        <w:trPr>
          <w:trHeight w:val="319"/>
        </w:trPr>
        <w:tc>
          <w:tcPr>
            <w:tcW w:w="0" w:type="auto"/>
            <w:shd w:val="clear" w:color="auto" w:fill="FFFFFF"/>
          </w:tcPr>
          <w:p w:rsidR="0053568C" w:rsidRPr="00BF0E9D" w:rsidRDefault="00BF5314" w:rsidP="000334F1">
            <w:pPr>
              <w:pStyle w:val="BodyText2"/>
              <w:spacing w:before="0" w:after="0" w:line="360" w:lineRule="auto"/>
              <w:jc w:val="center"/>
              <w:rPr>
                <w:rFonts w:ascii="Cambria" w:hAnsi="Cambria" w:cs="Arial"/>
                <w:sz w:val="24"/>
                <w:szCs w:val="24"/>
                <w:lang w:val="en-GB"/>
              </w:rPr>
            </w:pPr>
            <w:r>
              <w:rPr>
                <w:rFonts w:ascii="Cambria" w:hAnsi="Cambria" w:cs="Arial"/>
                <w:sz w:val="24"/>
                <w:szCs w:val="24"/>
                <w:lang w:val="en-GB"/>
              </w:rPr>
              <w:t>5</w:t>
            </w:r>
          </w:p>
        </w:tc>
        <w:tc>
          <w:tcPr>
            <w:tcW w:w="0" w:type="auto"/>
            <w:shd w:val="clear" w:color="auto" w:fill="FFFFFF"/>
          </w:tcPr>
          <w:p w:rsidR="0053568C" w:rsidRPr="00BF0E9D" w:rsidRDefault="0053568C" w:rsidP="00DF51C6">
            <w:pPr>
              <w:pStyle w:val="BodyText2"/>
              <w:spacing w:before="0" w:after="0" w:line="360" w:lineRule="auto"/>
              <w:jc w:val="both"/>
              <w:rPr>
                <w:rFonts w:ascii="Cambria" w:hAnsi="Cambria" w:cs="Arial"/>
                <w:bCs/>
                <w:sz w:val="24"/>
                <w:szCs w:val="24"/>
                <w:lang w:val="en-GB"/>
              </w:rPr>
            </w:pPr>
            <w:r>
              <w:rPr>
                <w:rFonts w:ascii="Cambria" w:hAnsi="Cambria" w:cs="Arial"/>
                <w:bCs/>
                <w:sz w:val="24"/>
                <w:szCs w:val="24"/>
                <w:lang w:val="en-GB"/>
              </w:rPr>
              <w:t xml:space="preserve">IT automation for </w:t>
            </w:r>
            <w:r w:rsidR="00DF51C6">
              <w:rPr>
                <w:rFonts w:ascii="Cambria" w:hAnsi="Cambria" w:cs="Arial"/>
                <w:bCs/>
                <w:sz w:val="24"/>
                <w:szCs w:val="24"/>
                <w:lang w:val="en-GB"/>
              </w:rPr>
              <w:t>various</w:t>
            </w:r>
            <w:r>
              <w:rPr>
                <w:rFonts w:ascii="Cambria" w:hAnsi="Cambria" w:cs="Arial"/>
                <w:bCs/>
                <w:sz w:val="24"/>
                <w:szCs w:val="24"/>
                <w:lang w:val="en-GB"/>
              </w:rPr>
              <w:t xml:space="preserve"> activity</w:t>
            </w:r>
          </w:p>
        </w:tc>
        <w:tc>
          <w:tcPr>
            <w:tcW w:w="0" w:type="auto"/>
            <w:shd w:val="clear" w:color="auto" w:fill="FFFFFF"/>
          </w:tcPr>
          <w:p w:rsidR="0053568C" w:rsidRPr="00CD4B6E" w:rsidDel="00DA4FE5" w:rsidRDefault="00BF5314" w:rsidP="000334F1">
            <w:pPr>
              <w:pStyle w:val="BodyText2"/>
              <w:spacing w:before="0" w:after="0" w:line="360" w:lineRule="auto"/>
              <w:ind w:right="209"/>
              <w:jc w:val="right"/>
              <w:rPr>
                <w:rFonts w:ascii="Cambria" w:hAnsi="Cambria" w:cs="Arial"/>
                <w:bCs/>
                <w:sz w:val="24"/>
                <w:szCs w:val="24"/>
                <w:lang w:val="en-GB"/>
              </w:rPr>
            </w:pPr>
            <w:r>
              <w:rPr>
                <w:rFonts w:ascii="Cambria" w:hAnsi="Cambria" w:cs="Arial"/>
                <w:bCs/>
                <w:sz w:val="24"/>
                <w:szCs w:val="24"/>
                <w:lang w:val="en-GB"/>
              </w:rPr>
              <w:t>200.00</w:t>
            </w:r>
          </w:p>
        </w:tc>
      </w:tr>
      <w:tr w:rsidR="0053568C" w:rsidRPr="00BF0E9D" w:rsidTr="00331D79">
        <w:trPr>
          <w:trHeight w:val="319"/>
        </w:trPr>
        <w:tc>
          <w:tcPr>
            <w:tcW w:w="0" w:type="auto"/>
            <w:shd w:val="clear" w:color="auto" w:fill="FFFFFF"/>
          </w:tcPr>
          <w:p w:rsidR="0053568C" w:rsidRPr="00BF0E9D" w:rsidRDefault="0053568C" w:rsidP="00543FB1">
            <w:pPr>
              <w:pStyle w:val="BodyText2"/>
              <w:spacing w:before="0" w:after="0" w:line="360" w:lineRule="auto"/>
              <w:jc w:val="right"/>
              <w:rPr>
                <w:rFonts w:ascii="Cambria" w:hAnsi="Cambria" w:cs="Arial"/>
                <w:sz w:val="24"/>
                <w:szCs w:val="24"/>
                <w:lang w:val="en-GB"/>
              </w:rPr>
            </w:pPr>
          </w:p>
        </w:tc>
        <w:tc>
          <w:tcPr>
            <w:tcW w:w="0" w:type="auto"/>
            <w:shd w:val="clear" w:color="auto" w:fill="FFFFFF"/>
          </w:tcPr>
          <w:p w:rsidR="0053568C" w:rsidRPr="00BF0E9D" w:rsidRDefault="0053568C" w:rsidP="00543FB1">
            <w:pPr>
              <w:pStyle w:val="BodyText2"/>
              <w:spacing w:before="0" w:after="0" w:line="360" w:lineRule="auto"/>
              <w:jc w:val="right"/>
              <w:rPr>
                <w:rFonts w:ascii="Cambria" w:hAnsi="Cambria" w:cs="Arial"/>
                <w:b/>
                <w:bCs/>
                <w:sz w:val="24"/>
                <w:szCs w:val="24"/>
                <w:lang w:val="en-GB"/>
              </w:rPr>
            </w:pPr>
            <w:r w:rsidRPr="00BF0E9D">
              <w:rPr>
                <w:rFonts w:ascii="Cambria" w:hAnsi="Cambria" w:cs="Arial"/>
                <w:b/>
                <w:bCs/>
                <w:sz w:val="24"/>
                <w:szCs w:val="24"/>
                <w:lang w:val="en-GB"/>
              </w:rPr>
              <w:t xml:space="preserve">   Total</w:t>
            </w:r>
          </w:p>
        </w:tc>
        <w:tc>
          <w:tcPr>
            <w:tcW w:w="0" w:type="auto"/>
            <w:shd w:val="clear" w:color="auto" w:fill="FFFFFF"/>
          </w:tcPr>
          <w:p w:rsidR="0053568C" w:rsidRPr="00CD4B6E" w:rsidRDefault="00BF5314" w:rsidP="00DF51C6">
            <w:pPr>
              <w:pStyle w:val="BodyText2"/>
              <w:spacing w:before="0" w:after="0" w:line="360" w:lineRule="auto"/>
              <w:ind w:right="209"/>
              <w:jc w:val="right"/>
              <w:rPr>
                <w:rFonts w:ascii="Cambria" w:hAnsi="Cambria" w:cs="Arial"/>
                <w:b/>
                <w:bCs/>
                <w:sz w:val="24"/>
                <w:szCs w:val="24"/>
                <w:lang w:val="en-GB"/>
              </w:rPr>
            </w:pPr>
            <w:r>
              <w:rPr>
                <w:rFonts w:ascii="Cambria" w:hAnsi="Cambria" w:cs="Arial"/>
                <w:b/>
                <w:bCs/>
                <w:sz w:val="24"/>
                <w:szCs w:val="24"/>
                <w:lang w:val="en-GB"/>
              </w:rPr>
              <w:t>828.86</w:t>
            </w:r>
          </w:p>
        </w:tc>
      </w:tr>
    </w:tbl>
    <w:p w:rsidR="004276A0" w:rsidRPr="00BF0E9D" w:rsidRDefault="004276A0" w:rsidP="00543FB1">
      <w:pPr>
        <w:spacing w:line="360" w:lineRule="auto"/>
        <w:jc w:val="right"/>
        <w:rPr>
          <w:rFonts w:ascii="Cambria" w:hAnsi="Cambria" w:cs="Arial"/>
          <w:b/>
          <w:bCs/>
        </w:rPr>
      </w:pPr>
    </w:p>
    <w:p w:rsidR="004276A0" w:rsidRPr="00BF0E9D" w:rsidRDefault="00821044" w:rsidP="004276A0">
      <w:pPr>
        <w:spacing w:line="360" w:lineRule="auto"/>
        <w:jc w:val="both"/>
        <w:rPr>
          <w:rFonts w:ascii="Cambria" w:hAnsi="Cambria" w:cs="Arial"/>
          <w:bCs/>
        </w:rPr>
      </w:pPr>
      <w:r>
        <w:rPr>
          <w:rFonts w:ascii="Cambria" w:hAnsi="Cambria" w:cs="Arial"/>
          <w:bCs/>
        </w:rPr>
        <w:t>Additional expenses for FY 2020-21</w:t>
      </w:r>
      <w:r w:rsidR="003D2AC4" w:rsidRPr="00BF0E9D">
        <w:rPr>
          <w:rFonts w:ascii="Cambria" w:hAnsi="Cambria" w:cs="Arial"/>
          <w:bCs/>
        </w:rPr>
        <w:t xml:space="preserve"> are</w:t>
      </w:r>
      <w:r w:rsidR="004276A0" w:rsidRPr="00BF0E9D">
        <w:rPr>
          <w:rFonts w:ascii="Cambria" w:hAnsi="Cambria" w:cs="Arial"/>
          <w:bCs/>
        </w:rPr>
        <w:t xml:space="preserve"> projected at Rs</w:t>
      </w:r>
      <w:r w:rsidR="00CD4B6E">
        <w:rPr>
          <w:rFonts w:ascii="Cambria" w:hAnsi="Cambria" w:cs="Arial"/>
          <w:bCs/>
        </w:rPr>
        <w:t xml:space="preserve"> </w:t>
      </w:r>
      <w:r w:rsidR="00BF5314">
        <w:rPr>
          <w:rFonts w:ascii="Cambria" w:hAnsi="Cambria" w:cs="Arial"/>
          <w:bCs/>
        </w:rPr>
        <w:t>8.29</w:t>
      </w:r>
      <w:r w:rsidR="00CD4B6E">
        <w:rPr>
          <w:rFonts w:ascii="Cambria" w:hAnsi="Cambria" w:cs="Arial"/>
          <w:bCs/>
        </w:rPr>
        <w:t xml:space="preserve"> </w:t>
      </w:r>
      <w:r w:rsidR="004276A0" w:rsidRPr="00BF0E9D">
        <w:rPr>
          <w:rFonts w:ascii="Cambria" w:hAnsi="Cambria" w:cs="Arial"/>
          <w:bCs/>
        </w:rPr>
        <w:t>Crore taking into consideration of the above initiatives.</w:t>
      </w:r>
    </w:p>
    <w:p w:rsidR="004276A0" w:rsidRPr="00BF0E9D" w:rsidRDefault="004276A0" w:rsidP="00DF51C6">
      <w:pPr>
        <w:pStyle w:val="Heading1"/>
        <w:numPr>
          <w:ilvl w:val="1"/>
          <w:numId w:val="1"/>
        </w:numPr>
        <w:spacing w:line="360" w:lineRule="auto"/>
        <w:jc w:val="both"/>
        <w:rPr>
          <w:rFonts w:ascii="Cambria" w:hAnsi="Cambria"/>
          <w:sz w:val="24"/>
          <w:szCs w:val="24"/>
        </w:rPr>
      </w:pPr>
      <w:bookmarkStart w:id="13" w:name="_Toc25850918"/>
      <w:r w:rsidRPr="00BF0E9D">
        <w:rPr>
          <w:rFonts w:ascii="Cambria" w:hAnsi="Cambria"/>
          <w:sz w:val="24"/>
          <w:szCs w:val="24"/>
        </w:rPr>
        <w:t>Repair &amp; Maintenance Expenses</w:t>
      </w:r>
      <w:bookmarkEnd w:id="13"/>
    </w:p>
    <w:p w:rsidR="004276A0" w:rsidRPr="00DF51C6" w:rsidRDefault="004276A0" w:rsidP="004276A0">
      <w:pPr>
        <w:pStyle w:val="BodyText2"/>
        <w:spacing w:line="360" w:lineRule="auto"/>
        <w:jc w:val="both"/>
        <w:rPr>
          <w:rFonts w:ascii="Cambria" w:hAnsi="Cambria" w:cs="Arial"/>
          <w:b/>
          <w:sz w:val="24"/>
          <w:szCs w:val="24"/>
        </w:rPr>
      </w:pPr>
      <w:r w:rsidRPr="00BF0E9D">
        <w:rPr>
          <w:rFonts w:ascii="Cambria" w:hAnsi="Cambria" w:cs="Arial"/>
          <w:sz w:val="24"/>
          <w:szCs w:val="24"/>
        </w:rPr>
        <w:t>The Repair &amp; Maintenance (R&amp;M) expe</w:t>
      </w:r>
      <w:r w:rsidR="00821044">
        <w:rPr>
          <w:rFonts w:ascii="Cambria" w:hAnsi="Cambria" w:cs="Arial"/>
          <w:sz w:val="24"/>
          <w:szCs w:val="24"/>
        </w:rPr>
        <w:t>nses for the ensuing year FY 2020-21</w:t>
      </w:r>
      <w:r w:rsidRPr="00BF0E9D">
        <w:rPr>
          <w:rFonts w:ascii="Cambria" w:hAnsi="Cambria" w:cs="Arial"/>
          <w:sz w:val="24"/>
          <w:szCs w:val="24"/>
        </w:rPr>
        <w:t xml:space="preserve"> has been estimated on the basis of 5.4% of Gross Fixed Assets (GFA) including the </w:t>
      </w:r>
      <w:r w:rsidR="00821044">
        <w:rPr>
          <w:rFonts w:ascii="Cambria" w:hAnsi="Cambria" w:cs="Arial"/>
          <w:sz w:val="24"/>
          <w:szCs w:val="24"/>
        </w:rPr>
        <w:t xml:space="preserve">IPDS, </w:t>
      </w:r>
      <w:r w:rsidRPr="00BF0E9D">
        <w:rPr>
          <w:rFonts w:ascii="Cambria" w:hAnsi="Cambria" w:cs="Arial"/>
          <w:sz w:val="24"/>
          <w:szCs w:val="24"/>
        </w:rPr>
        <w:t xml:space="preserve">RGGVY </w:t>
      </w:r>
      <w:r w:rsidR="00A61375">
        <w:rPr>
          <w:rFonts w:ascii="Cambria" w:hAnsi="Cambria" w:cs="Arial"/>
          <w:sz w:val="24"/>
          <w:szCs w:val="24"/>
        </w:rPr>
        <w:t>,</w:t>
      </w:r>
      <w:r w:rsidR="00821044">
        <w:rPr>
          <w:rFonts w:ascii="Cambria" w:hAnsi="Cambria" w:cs="Arial"/>
          <w:sz w:val="24"/>
          <w:szCs w:val="24"/>
        </w:rPr>
        <w:t xml:space="preserve"> DDUGJY. </w:t>
      </w:r>
      <w:r w:rsidRPr="00BF0E9D">
        <w:rPr>
          <w:rFonts w:ascii="Cambria" w:hAnsi="Cambria" w:cs="Arial"/>
          <w:sz w:val="24"/>
          <w:szCs w:val="24"/>
        </w:rPr>
        <w:t xml:space="preserve">BGJY </w:t>
      </w:r>
      <w:r w:rsidR="00821044">
        <w:rPr>
          <w:rFonts w:ascii="Cambria" w:hAnsi="Cambria" w:cs="Arial"/>
          <w:sz w:val="24"/>
          <w:szCs w:val="24"/>
        </w:rPr>
        <w:t xml:space="preserve"> and </w:t>
      </w:r>
      <w:r w:rsidRPr="00BF0E9D">
        <w:rPr>
          <w:rFonts w:ascii="Cambria" w:hAnsi="Cambria" w:cs="Arial"/>
          <w:sz w:val="24"/>
          <w:szCs w:val="24"/>
        </w:rPr>
        <w:t xml:space="preserve">assets </w:t>
      </w:r>
      <w:r w:rsidR="00A61375">
        <w:rPr>
          <w:rFonts w:ascii="Cambria" w:hAnsi="Cambria" w:cs="Arial"/>
          <w:sz w:val="24"/>
          <w:szCs w:val="24"/>
        </w:rPr>
        <w:t xml:space="preserve">under SAUBHAGYA Scheme </w:t>
      </w:r>
      <w:r w:rsidRPr="00BF0E9D">
        <w:rPr>
          <w:rFonts w:ascii="Cambria" w:hAnsi="Cambria" w:cs="Arial"/>
          <w:sz w:val="24"/>
          <w:szCs w:val="24"/>
        </w:rPr>
        <w:t xml:space="preserve">at the beginning of the year. </w:t>
      </w:r>
      <w:r w:rsidRPr="00DF51C6">
        <w:rPr>
          <w:rFonts w:ascii="Cambria" w:hAnsi="Cambria" w:cs="Arial"/>
          <w:b/>
          <w:sz w:val="24"/>
          <w:szCs w:val="24"/>
        </w:rPr>
        <w:t>The</w:t>
      </w:r>
      <w:r w:rsidR="00DF51C6" w:rsidRPr="00DF51C6">
        <w:rPr>
          <w:rFonts w:ascii="Cambria" w:hAnsi="Cambria" w:cs="Arial"/>
          <w:b/>
          <w:sz w:val="24"/>
          <w:szCs w:val="24"/>
        </w:rPr>
        <w:t xml:space="preserve"> opening GFA works out to be Rs</w:t>
      </w:r>
      <w:r w:rsidR="00AB3BAC" w:rsidRPr="00DF51C6">
        <w:rPr>
          <w:rFonts w:ascii="Cambria" w:hAnsi="Cambria" w:cs="Arial"/>
          <w:b/>
          <w:sz w:val="24"/>
          <w:szCs w:val="24"/>
        </w:rPr>
        <w:t>.</w:t>
      </w:r>
      <w:r w:rsidR="00DF51C6" w:rsidRPr="00DF51C6">
        <w:rPr>
          <w:rFonts w:ascii="Cambria" w:hAnsi="Cambria" w:cs="Arial"/>
          <w:b/>
          <w:sz w:val="24"/>
          <w:szCs w:val="24"/>
        </w:rPr>
        <w:t xml:space="preserve"> </w:t>
      </w:r>
      <w:r w:rsidR="00C73134">
        <w:rPr>
          <w:rFonts w:ascii="Cambria" w:hAnsi="Cambria" w:cs="Arial"/>
          <w:b/>
          <w:sz w:val="24"/>
          <w:szCs w:val="24"/>
        </w:rPr>
        <w:t>2573.30</w:t>
      </w:r>
      <w:r w:rsidR="00AB3BAC" w:rsidRPr="00DF51C6">
        <w:rPr>
          <w:rFonts w:ascii="Cambria" w:hAnsi="Cambria" w:cs="Arial"/>
          <w:b/>
          <w:sz w:val="24"/>
          <w:szCs w:val="24"/>
        </w:rPr>
        <w:t xml:space="preserve"> </w:t>
      </w:r>
      <w:r w:rsidRPr="00DF51C6">
        <w:rPr>
          <w:rFonts w:ascii="Cambria" w:hAnsi="Cambria" w:cs="Arial"/>
          <w:b/>
          <w:sz w:val="24"/>
          <w:szCs w:val="24"/>
        </w:rPr>
        <w:t xml:space="preserve">crores, based on which the proposed R&amp;M expenses is to the tune of Rs </w:t>
      </w:r>
      <w:r w:rsidR="00C73134">
        <w:rPr>
          <w:rFonts w:ascii="Cambria" w:hAnsi="Cambria" w:cs="Arial"/>
          <w:b/>
          <w:sz w:val="24"/>
          <w:szCs w:val="24"/>
        </w:rPr>
        <w:t>138.96</w:t>
      </w:r>
      <w:r w:rsidR="00AB3BAC" w:rsidRPr="00DF51C6">
        <w:rPr>
          <w:rFonts w:ascii="Cambria" w:hAnsi="Cambria" w:cs="Arial"/>
          <w:b/>
          <w:sz w:val="24"/>
          <w:szCs w:val="24"/>
        </w:rPr>
        <w:t xml:space="preserve"> </w:t>
      </w:r>
      <w:r w:rsidRPr="00DF51C6">
        <w:rPr>
          <w:rFonts w:ascii="Cambria" w:hAnsi="Cambria" w:cs="Arial"/>
          <w:b/>
          <w:sz w:val="24"/>
          <w:szCs w:val="24"/>
        </w:rPr>
        <w:t>crores</w:t>
      </w:r>
      <w:r w:rsidR="00AB3BAC" w:rsidRPr="00DF51C6">
        <w:rPr>
          <w:rFonts w:ascii="Cambria" w:hAnsi="Cambria" w:cs="Arial"/>
          <w:b/>
          <w:sz w:val="24"/>
          <w:szCs w:val="24"/>
        </w:rPr>
        <w:t xml:space="preserve"> alon</w:t>
      </w:r>
      <w:r w:rsidR="00CD4B6E" w:rsidRPr="00DF51C6">
        <w:rPr>
          <w:rFonts w:ascii="Cambria" w:hAnsi="Cambria" w:cs="Arial"/>
          <w:b/>
          <w:sz w:val="24"/>
          <w:szCs w:val="24"/>
        </w:rPr>
        <w:t xml:space="preserve">g </w:t>
      </w:r>
      <w:r w:rsidR="00AB3BAC" w:rsidRPr="00DF51C6">
        <w:rPr>
          <w:rFonts w:ascii="Cambria" w:hAnsi="Cambria" w:cs="Arial"/>
          <w:b/>
          <w:sz w:val="24"/>
          <w:szCs w:val="24"/>
        </w:rPr>
        <w:t xml:space="preserve">with R&amp;M on RGGVY </w:t>
      </w:r>
      <w:r w:rsidR="00CD4B6E" w:rsidRPr="00DF51C6">
        <w:rPr>
          <w:rFonts w:ascii="Cambria" w:hAnsi="Cambria" w:cs="Arial"/>
          <w:b/>
          <w:sz w:val="24"/>
          <w:szCs w:val="24"/>
        </w:rPr>
        <w:t>assets</w:t>
      </w:r>
      <w:r w:rsidRPr="00DF51C6">
        <w:rPr>
          <w:rFonts w:ascii="Cambria" w:hAnsi="Cambria" w:cs="Arial"/>
          <w:b/>
          <w:sz w:val="24"/>
          <w:szCs w:val="24"/>
        </w:rPr>
        <w:t xml:space="preserve">. </w:t>
      </w:r>
    </w:p>
    <w:p w:rsidR="004276A0" w:rsidRPr="00BF0E9D" w:rsidRDefault="004276A0" w:rsidP="00DF51C6">
      <w:pPr>
        <w:pStyle w:val="Heading1"/>
        <w:numPr>
          <w:ilvl w:val="1"/>
          <w:numId w:val="1"/>
        </w:numPr>
        <w:spacing w:line="360" w:lineRule="auto"/>
        <w:jc w:val="both"/>
        <w:rPr>
          <w:rFonts w:ascii="Cambria" w:hAnsi="Cambria"/>
          <w:sz w:val="24"/>
          <w:szCs w:val="24"/>
        </w:rPr>
      </w:pPr>
      <w:bookmarkStart w:id="14" w:name="_Toc25850919"/>
      <w:r w:rsidRPr="00BF0E9D">
        <w:rPr>
          <w:rFonts w:ascii="Cambria" w:hAnsi="Cambria"/>
          <w:sz w:val="24"/>
          <w:szCs w:val="24"/>
        </w:rPr>
        <w:t>Provision for Bad and Doubtful Debts</w:t>
      </w:r>
      <w:bookmarkEnd w:id="14"/>
    </w:p>
    <w:p w:rsidR="004276A0" w:rsidRPr="00BF0E9D" w:rsidRDefault="004276A0" w:rsidP="004276A0">
      <w:pPr>
        <w:tabs>
          <w:tab w:val="left" w:pos="0"/>
          <w:tab w:val="num" w:pos="360"/>
          <w:tab w:val="left" w:pos="720"/>
        </w:tabs>
        <w:spacing w:after="180"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respectfully submits that considering the past accumulated losses and huge </w:t>
      </w:r>
      <w:r w:rsidR="003D2AC4" w:rsidRPr="00BF0E9D">
        <w:rPr>
          <w:rFonts w:ascii="Cambria" w:hAnsi="Cambria" w:cs="Arial"/>
        </w:rPr>
        <w:t>liabilities;</w:t>
      </w:r>
      <w:r w:rsidRPr="00BF0E9D">
        <w:rPr>
          <w:rFonts w:ascii="Cambria" w:hAnsi="Cambria" w:cs="Arial"/>
        </w:rPr>
        <w:t xml:space="preserve"> it would </w:t>
      </w:r>
      <w:r w:rsidR="00C65053">
        <w:rPr>
          <w:rFonts w:ascii="Cambria" w:hAnsi="Cambria" w:cs="Arial"/>
        </w:rPr>
        <w:t>not be feasible</w:t>
      </w:r>
      <w:r w:rsidRPr="00BF0E9D">
        <w:rPr>
          <w:rFonts w:ascii="Cambria" w:hAnsi="Cambria" w:cs="Arial"/>
        </w:rPr>
        <w:t xml:space="preserve"> for the Petitioner to </w:t>
      </w:r>
      <w:r w:rsidR="00C65053">
        <w:rPr>
          <w:rFonts w:ascii="Cambria" w:hAnsi="Cambria" w:cs="Arial"/>
        </w:rPr>
        <w:t>raise</w:t>
      </w:r>
      <w:r w:rsidR="00C65053" w:rsidRPr="00BF0E9D">
        <w:rPr>
          <w:rFonts w:ascii="Cambria" w:hAnsi="Cambria" w:cs="Arial"/>
        </w:rPr>
        <w:t xml:space="preserve"> </w:t>
      </w:r>
      <w:r w:rsidRPr="00BF0E9D">
        <w:rPr>
          <w:rFonts w:ascii="Cambria" w:hAnsi="Cambria" w:cs="Arial"/>
        </w:rPr>
        <w:t xml:space="preserve">finance to bridge the revenue </w:t>
      </w:r>
      <w:r w:rsidRPr="00BF0E9D">
        <w:rPr>
          <w:rFonts w:ascii="Cambria" w:hAnsi="Cambria" w:cs="Arial"/>
        </w:rPr>
        <w:lastRenderedPageBreak/>
        <w:t>gap, which would arise due to non-recognition of collection efficiency in determination of tariff.</w:t>
      </w:r>
    </w:p>
    <w:p w:rsidR="004276A0" w:rsidRDefault="004276A0" w:rsidP="004276A0">
      <w:pPr>
        <w:spacing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whi</w:t>
      </w:r>
      <w:r w:rsidR="00C73134">
        <w:rPr>
          <w:rFonts w:ascii="Cambria" w:hAnsi="Cambria" w:cs="Arial"/>
        </w:rPr>
        <w:t>le estimating the ARR for FY 2020-21</w:t>
      </w:r>
      <w:r w:rsidRPr="00BF0E9D">
        <w:rPr>
          <w:rFonts w:ascii="Cambria" w:hAnsi="Cambria" w:cs="Arial"/>
        </w:rPr>
        <w:t xml:space="preserve"> has considered the revenue from sale of power on accrual basis in line with the Commission’s Order on ARR and Tariff Petitions for FY 2005-06 to FY 201</w:t>
      </w:r>
      <w:r w:rsidR="00C73134">
        <w:rPr>
          <w:rFonts w:ascii="Cambria" w:hAnsi="Cambria" w:cs="Arial"/>
        </w:rPr>
        <w:t>8</w:t>
      </w:r>
      <w:r w:rsidRPr="00BF0E9D">
        <w:rPr>
          <w:rFonts w:ascii="Cambria" w:hAnsi="Cambria" w:cs="Arial"/>
        </w:rPr>
        <w:t>-1</w:t>
      </w:r>
      <w:r w:rsidR="00C73134">
        <w:rPr>
          <w:rFonts w:ascii="Cambria" w:hAnsi="Cambria" w:cs="Arial"/>
        </w:rPr>
        <w:t>9</w:t>
      </w:r>
      <w:r w:rsidRPr="00BF0E9D">
        <w:rPr>
          <w:rFonts w:ascii="Cambria" w:hAnsi="Cambria" w:cs="Arial"/>
        </w:rPr>
        <w:t xml:space="preserve">. However, as it is </w:t>
      </w:r>
      <w:r w:rsidR="00C65053">
        <w:rPr>
          <w:rFonts w:ascii="Cambria" w:hAnsi="Cambria" w:cs="Arial"/>
        </w:rPr>
        <w:t>not feasible</w:t>
      </w:r>
      <w:r w:rsidR="00C65053" w:rsidRPr="00BF0E9D">
        <w:rPr>
          <w:rFonts w:ascii="Cambria" w:hAnsi="Cambria" w:cs="Arial"/>
        </w:rPr>
        <w:t xml:space="preserve"> </w:t>
      </w:r>
      <w:r w:rsidRPr="00BF0E9D">
        <w:rPr>
          <w:rFonts w:ascii="Cambria" w:hAnsi="Cambria" w:cs="Arial"/>
        </w:rPr>
        <w:t xml:space="preserve">for Petitioner to </w:t>
      </w:r>
      <w:r w:rsidR="00C65053">
        <w:rPr>
          <w:rFonts w:ascii="Cambria" w:hAnsi="Cambria" w:cs="Arial"/>
        </w:rPr>
        <w:t>raise</w:t>
      </w:r>
      <w:r w:rsidRPr="00BF0E9D">
        <w:rPr>
          <w:rFonts w:ascii="Cambria" w:hAnsi="Cambria" w:cs="Arial"/>
        </w:rPr>
        <w:t xml:space="preserve"> finance </w:t>
      </w:r>
      <w:r w:rsidR="00C65053">
        <w:rPr>
          <w:rFonts w:ascii="Cambria" w:hAnsi="Cambria" w:cs="Arial"/>
        </w:rPr>
        <w:t>against</w:t>
      </w:r>
      <w:r w:rsidRPr="00BF0E9D">
        <w:rPr>
          <w:rFonts w:ascii="Cambria" w:hAnsi="Cambria" w:cs="Arial"/>
        </w:rPr>
        <w:t xml:space="preserve"> huge accumulated </w:t>
      </w:r>
      <w:r w:rsidR="00BF54D4">
        <w:rPr>
          <w:rFonts w:ascii="Cambria" w:hAnsi="Cambria" w:cs="Arial"/>
        </w:rPr>
        <w:t>loss</w:t>
      </w:r>
      <w:r w:rsidRPr="00BF0E9D">
        <w:rPr>
          <w:rFonts w:ascii="Cambria" w:hAnsi="Cambria" w:cs="Arial"/>
        </w:rPr>
        <w:t xml:space="preserve"> to bridge the gap of collection inefficiency, the Petitioner has considered the </w:t>
      </w:r>
      <w:r w:rsidR="00C65053">
        <w:rPr>
          <w:rFonts w:ascii="Cambria" w:hAnsi="Cambria" w:cs="Arial"/>
        </w:rPr>
        <w:t xml:space="preserve">non-collectable </w:t>
      </w:r>
      <w:r w:rsidRPr="00BF0E9D">
        <w:rPr>
          <w:rFonts w:ascii="Cambria" w:hAnsi="Cambria" w:cs="Arial"/>
        </w:rPr>
        <w:t xml:space="preserve">amount </w:t>
      </w:r>
      <w:r w:rsidR="00C65053">
        <w:rPr>
          <w:rFonts w:ascii="Cambria" w:hAnsi="Cambria" w:cs="Arial"/>
        </w:rPr>
        <w:t>based on</w:t>
      </w:r>
      <w:r w:rsidRPr="00BF0E9D">
        <w:rPr>
          <w:rFonts w:ascii="Cambria" w:hAnsi="Cambria" w:cs="Arial"/>
        </w:rPr>
        <w:t xml:space="preserve"> the collection efficiency as bad and doubtful debts while estimating the ARR for FY 20</w:t>
      </w:r>
      <w:r w:rsidR="00C73134">
        <w:rPr>
          <w:rFonts w:ascii="Cambria" w:hAnsi="Cambria" w:cs="Arial"/>
        </w:rPr>
        <w:t>20-21</w:t>
      </w:r>
      <w:r w:rsidRPr="00BF0E9D">
        <w:rPr>
          <w:rFonts w:ascii="Cambria" w:hAnsi="Cambria" w:cs="Arial"/>
        </w:rPr>
        <w:t xml:space="preserve">. Considering the proposed collection </w:t>
      </w:r>
      <w:r w:rsidR="00F212B5">
        <w:rPr>
          <w:rFonts w:ascii="Cambria" w:hAnsi="Cambria" w:cs="Arial"/>
        </w:rPr>
        <w:t>in</w:t>
      </w:r>
      <w:r w:rsidRPr="00BF0E9D">
        <w:rPr>
          <w:rFonts w:ascii="Cambria" w:hAnsi="Cambria" w:cs="Arial"/>
        </w:rPr>
        <w:t xml:space="preserve">efficiency of </w:t>
      </w:r>
      <w:r w:rsidR="00A61375">
        <w:rPr>
          <w:rFonts w:ascii="Cambria" w:hAnsi="Cambria" w:cs="Arial"/>
        </w:rPr>
        <w:t>3</w:t>
      </w:r>
      <w:r w:rsidR="00C73134">
        <w:rPr>
          <w:rFonts w:ascii="Cambria" w:hAnsi="Cambria" w:cs="Arial"/>
        </w:rPr>
        <w:t>% for FY 2020-21</w:t>
      </w:r>
      <w:r w:rsidR="004C3702">
        <w:rPr>
          <w:rFonts w:ascii="Cambria" w:hAnsi="Cambria" w:cs="Arial"/>
        </w:rPr>
        <w:t xml:space="preserve"> </w:t>
      </w:r>
      <w:r w:rsidR="00331D79">
        <w:rPr>
          <w:rFonts w:ascii="Cambria" w:hAnsi="Cambria" w:cs="Arial"/>
        </w:rPr>
        <w:t xml:space="preserve">provisions for </w:t>
      </w:r>
      <w:r w:rsidRPr="00BF0E9D">
        <w:rPr>
          <w:rFonts w:ascii="Cambria" w:hAnsi="Cambria" w:cs="Arial"/>
        </w:rPr>
        <w:t xml:space="preserve">bad </w:t>
      </w:r>
      <w:r w:rsidR="00331D79">
        <w:rPr>
          <w:rFonts w:ascii="Cambria" w:hAnsi="Cambria" w:cs="Arial"/>
        </w:rPr>
        <w:t xml:space="preserve">and doubtful </w:t>
      </w:r>
      <w:r w:rsidRPr="00BF0E9D">
        <w:rPr>
          <w:rFonts w:ascii="Cambria" w:hAnsi="Cambria" w:cs="Arial"/>
        </w:rPr>
        <w:t xml:space="preserve">debts </w:t>
      </w:r>
      <w:r w:rsidR="00DF51C6">
        <w:rPr>
          <w:rFonts w:ascii="Cambria" w:hAnsi="Cambria" w:cs="Arial"/>
        </w:rPr>
        <w:t xml:space="preserve">at 50 % of the uncollected portion </w:t>
      </w:r>
      <w:r w:rsidR="004C3702">
        <w:rPr>
          <w:rFonts w:ascii="Cambria" w:hAnsi="Cambria" w:cs="Arial"/>
        </w:rPr>
        <w:t xml:space="preserve">amounting to </w:t>
      </w:r>
      <w:r w:rsidRPr="00BF0E9D">
        <w:rPr>
          <w:rFonts w:ascii="Cambria" w:hAnsi="Cambria" w:cs="Arial"/>
        </w:rPr>
        <w:t xml:space="preserve">Rs </w:t>
      </w:r>
      <w:r w:rsidR="00C73134">
        <w:rPr>
          <w:rFonts w:ascii="Cambria" w:hAnsi="Cambria" w:cs="Arial"/>
        </w:rPr>
        <w:t>39.35</w:t>
      </w:r>
      <w:r w:rsidRPr="00BF0E9D">
        <w:rPr>
          <w:rFonts w:ascii="Cambria" w:hAnsi="Cambria" w:cs="Arial"/>
        </w:rPr>
        <w:t xml:space="preserve"> crs has been cons</w:t>
      </w:r>
      <w:r w:rsidR="00C73134">
        <w:rPr>
          <w:rFonts w:ascii="Cambria" w:hAnsi="Cambria" w:cs="Arial"/>
        </w:rPr>
        <w:t>idered as part of ARR for FY 2020-21</w:t>
      </w:r>
      <w:r w:rsidRPr="00BF0E9D">
        <w:rPr>
          <w:rFonts w:ascii="Cambria" w:hAnsi="Cambria" w:cs="Arial"/>
        </w:rPr>
        <w:t xml:space="preserve">. The Petitioner humbly requests the </w:t>
      </w:r>
      <w:r w:rsidR="00331D79">
        <w:rPr>
          <w:rFonts w:ascii="Cambria" w:hAnsi="Cambria" w:cs="Arial"/>
        </w:rPr>
        <w:t xml:space="preserve">Hon’ble </w:t>
      </w:r>
      <w:r w:rsidRPr="00BF0E9D">
        <w:rPr>
          <w:rFonts w:ascii="Cambria" w:hAnsi="Cambria" w:cs="Arial"/>
        </w:rPr>
        <w:t xml:space="preserve">Commission to consider the </w:t>
      </w:r>
      <w:r w:rsidR="004C3702">
        <w:rPr>
          <w:rFonts w:ascii="Cambria" w:hAnsi="Cambria" w:cs="Arial"/>
        </w:rPr>
        <w:t xml:space="preserve">same </w:t>
      </w:r>
      <w:r w:rsidRPr="00BF0E9D">
        <w:rPr>
          <w:rFonts w:ascii="Cambria" w:hAnsi="Cambria" w:cs="Arial"/>
        </w:rPr>
        <w:t>to enable the Petitioner to recover its entire costs after duly considering the performance levels.</w:t>
      </w:r>
    </w:p>
    <w:p w:rsidR="004276A0" w:rsidRPr="00BF0E9D" w:rsidRDefault="004276A0" w:rsidP="00C633F7">
      <w:pPr>
        <w:pStyle w:val="Heading1"/>
        <w:numPr>
          <w:ilvl w:val="1"/>
          <w:numId w:val="1"/>
        </w:numPr>
        <w:spacing w:line="360" w:lineRule="auto"/>
        <w:jc w:val="both"/>
        <w:rPr>
          <w:rFonts w:ascii="Cambria" w:hAnsi="Cambria"/>
          <w:sz w:val="24"/>
          <w:szCs w:val="24"/>
        </w:rPr>
      </w:pPr>
      <w:bookmarkStart w:id="15" w:name="_Toc25850920"/>
      <w:r w:rsidRPr="00BF0E9D">
        <w:rPr>
          <w:rFonts w:ascii="Cambria" w:hAnsi="Cambria"/>
          <w:sz w:val="24"/>
          <w:szCs w:val="24"/>
        </w:rPr>
        <w:t>Depreciation</w:t>
      </w:r>
      <w:bookmarkEnd w:id="15"/>
    </w:p>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Depreciation has been provided only on assets available at the beginning of the year and no depreciation has been provided on assets created during the year. The method adopted for calculating depreciation is Straight Line Method (SLM) at pre-92 rates.</w:t>
      </w:r>
    </w:p>
    <w:p w:rsidR="004276A0" w:rsidRPr="00BF0E9D" w:rsidRDefault="004276A0" w:rsidP="004276A0">
      <w:pPr>
        <w:pStyle w:val="BodyText2"/>
        <w:spacing w:line="360" w:lineRule="auto"/>
        <w:rPr>
          <w:rFonts w:ascii="Cambria" w:hAnsi="Cambria" w:cs="Arial"/>
          <w:sz w:val="24"/>
          <w:szCs w:val="24"/>
        </w:rPr>
      </w:pPr>
      <w:r w:rsidRPr="00BF0E9D">
        <w:rPr>
          <w:rFonts w:ascii="Cambria" w:hAnsi="Cambria" w:cs="Arial"/>
          <w:sz w:val="24"/>
          <w:szCs w:val="24"/>
        </w:rPr>
        <w:t>The numerical details are given in OERC Form: F-</w:t>
      </w:r>
      <w:r w:rsidR="00AB3BAC">
        <w:rPr>
          <w:rFonts w:ascii="Cambria" w:hAnsi="Cambria" w:cs="Arial"/>
          <w:sz w:val="24"/>
          <w:szCs w:val="24"/>
        </w:rPr>
        <w:t>19</w:t>
      </w:r>
      <w:r w:rsidRPr="00BF0E9D">
        <w:rPr>
          <w:rFonts w:ascii="Cambria" w:hAnsi="Cambria" w:cs="Arial"/>
          <w:sz w:val="24"/>
          <w:szCs w:val="24"/>
        </w:rPr>
        <w:t xml:space="preserve">. </w:t>
      </w:r>
    </w:p>
    <w:p w:rsidR="004276A0"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The depreciation for FY 20</w:t>
      </w:r>
      <w:r w:rsidR="00F80647">
        <w:rPr>
          <w:rFonts w:ascii="Cambria" w:hAnsi="Cambria" w:cs="Arial"/>
          <w:sz w:val="24"/>
          <w:szCs w:val="24"/>
        </w:rPr>
        <w:t>20</w:t>
      </w:r>
      <w:r w:rsidR="00351C2A">
        <w:rPr>
          <w:rFonts w:ascii="Cambria" w:hAnsi="Cambria" w:cs="Arial"/>
          <w:sz w:val="24"/>
          <w:szCs w:val="24"/>
        </w:rPr>
        <w:t>-21</w:t>
      </w:r>
      <w:r w:rsidRPr="00BF0E9D">
        <w:rPr>
          <w:rFonts w:ascii="Cambria" w:hAnsi="Cambria" w:cs="Arial"/>
          <w:sz w:val="24"/>
          <w:szCs w:val="24"/>
        </w:rPr>
        <w:t xml:space="preserve"> is projected at Rs</w:t>
      </w:r>
      <w:r w:rsidR="00AB3BAC">
        <w:rPr>
          <w:rFonts w:ascii="Cambria" w:hAnsi="Cambria" w:cs="Arial"/>
          <w:sz w:val="24"/>
          <w:szCs w:val="24"/>
        </w:rPr>
        <w:t>.</w:t>
      </w:r>
      <w:r w:rsidR="00351C2A">
        <w:rPr>
          <w:rFonts w:ascii="Cambria" w:hAnsi="Cambria" w:cs="Arial"/>
          <w:sz w:val="24"/>
          <w:szCs w:val="24"/>
        </w:rPr>
        <w:t xml:space="preserve"> 92.82</w:t>
      </w:r>
      <w:r w:rsidR="00AB3BAC" w:rsidRPr="00BF0E9D">
        <w:rPr>
          <w:rFonts w:ascii="Cambria" w:hAnsi="Cambria" w:cs="Arial"/>
          <w:sz w:val="24"/>
          <w:szCs w:val="24"/>
        </w:rPr>
        <w:t xml:space="preserve"> </w:t>
      </w:r>
      <w:r w:rsidRPr="00BF0E9D">
        <w:rPr>
          <w:rFonts w:ascii="Cambria" w:hAnsi="Cambria" w:cs="Arial"/>
          <w:sz w:val="24"/>
          <w:szCs w:val="24"/>
        </w:rPr>
        <w:t>Crore.</w:t>
      </w:r>
    </w:p>
    <w:p w:rsidR="004276A0" w:rsidRPr="00BF0E9D" w:rsidRDefault="004276A0" w:rsidP="00C633F7">
      <w:pPr>
        <w:pStyle w:val="Heading1"/>
        <w:numPr>
          <w:ilvl w:val="1"/>
          <w:numId w:val="1"/>
        </w:numPr>
        <w:spacing w:line="360" w:lineRule="auto"/>
        <w:jc w:val="both"/>
        <w:rPr>
          <w:rFonts w:ascii="Cambria" w:hAnsi="Cambria"/>
          <w:sz w:val="24"/>
          <w:szCs w:val="24"/>
        </w:rPr>
      </w:pPr>
      <w:bookmarkStart w:id="16" w:name="_Toc25850921"/>
      <w:r w:rsidRPr="00BF0E9D">
        <w:rPr>
          <w:rFonts w:ascii="Cambria" w:hAnsi="Cambria"/>
          <w:sz w:val="24"/>
          <w:szCs w:val="24"/>
        </w:rPr>
        <w:t>Interest Expenses</w:t>
      </w:r>
      <w:bookmarkEnd w:id="16"/>
      <w:r w:rsidRPr="00BF0E9D">
        <w:rPr>
          <w:rFonts w:ascii="Cambria" w:hAnsi="Cambria"/>
          <w:sz w:val="24"/>
          <w:szCs w:val="24"/>
        </w:rPr>
        <w:t xml:space="preserve"> </w:t>
      </w:r>
    </w:p>
    <w:p w:rsidR="003A637B" w:rsidRDefault="004276A0" w:rsidP="004276A0">
      <w:pPr>
        <w:spacing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would like to submit that the assumptions with respect to outstanding loans and dues have been considered in line with the Commission’s previous Orders</w:t>
      </w:r>
    </w:p>
    <w:p w:rsidR="007067DA" w:rsidRDefault="004276A0" w:rsidP="004276A0">
      <w:pPr>
        <w:spacing w:line="360" w:lineRule="auto"/>
        <w:jc w:val="both"/>
        <w:rPr>
          <w:rFonts w:ascii="Cambria" w:hAnsi="Cambria" w:cs="Arial"/>
        </w:rPr>
      </w:pPr>
      <w:r w:rsidRPr="00BF0E9D">
        <w:rPr>
          <w:rFonts w:ascii="Cambria" w:hAnsi="Cambria" w:cs="Arial"/>
        </w:rPr>
        <w:t>.</w:t>
      </w:r>
    </w:p>
    <w:p w:rsidR="004276A0" w:rsidRPr="00BF0E9D" w:rsidRDefault="007067DA" w:rsidP="004276A0">
      <w:pPr>
        <w:spacing w:line="360" w:lineRule="auto"/>
        <w:jc w:val="both"/>
        <w:rPr>
          <w:rFonts w:ascii="Cambria" w:hAnsi="Cambria" w:cs="Arial"/>
        </w:rPr>
      </w:pPr>
      <w:r w:rsidRPr="007067DA">
        <w:rPr>
          <w:rFonts w:ascii="Cambria" w:hAnsi="Cambria" w:cs="Arial"/>
          <w:b/>
          <w:bCs/>
        </w:rPr>
        <w:t>2.9.1.</w:t>
      </w:r>
      <w:r>
        <w:rPr>
          <w:rFonts w:ascii="Cambria" w:hAnsi="Cambria" w:cs="Arial"/>
          <w:b/>
          <w:bCs/>
        </w:rPr>
        <w:tab/>
      </w:r>
      <w:r w:rsidRPr="007067DA">
        <w:rPr>
          <w:rFonts w:ascii="Cambria" w:hAnsi="Cambria" w:cs="Arial"/>
          <w:b/>
          <w:bCs/>
        </w:rPr>
        <w:t>GRIDCO Loan and BST Outstanding</w:t>
      </w:r>
      <w:r w:rsidR="004276A0" w:rsidRPr="00BF0E9D">
        <w:rPr>
          <w:rFonts w:ascii="Cambria" w:hAnsi="Cambria" w:cs="Arial"/>
        </w:rPr>
        <w:t xml:space="preserve"> </w:t>
      </w:r>
    </w:p>
    <w:p w:rsidR="004276A0" w:rsidRPr="00BF0E9D" w:rsidRDefault="004276A0" w:rsidP="004276A0">
      <w:pPr>
        <w:spacing w:line="360" w:lineRule="auto"/>
        <w:jc w:val="both"/>
        <w:rPr>
          <w:rFonts w:ascii="Cambria" w:hAnsi="Cambria" w:cs="Arial"/>
          <w:b/>
          <w:bCs/>
        </w:rPr>
      </w:pPr>
      <w:r w:rsidRPr="00BF0E9D">
        <w:rPr>
          <w:rFonts w:ascii="Cambria" w:hAnsi="Cambria" w:cs="Arial"/>
        </w:rPr>
        <w:t xml:space="preserve">The Hon’ble Commission passed an order on 20.07.2006 </w:t>
      </w:r>
      <w:r w:rsidR="007067DA">
        <w:rPr>
          <w:rFonts w:ascii="Cambria" w:hAnsi="Cambria" w:cs="Arial"/>
        </w:rPr>
        <w:t xml:space="preserve">and 01.12.2008 in Case No.115 of 2014 </w:t>
      </w:r>
      <w:r w:rsidRPr="00BF0E9D">
        <w:rPr>
          <w:rFonts w:ascii="Cambria" w:hAnsi="Cambria" w:cs="Arial"/>
        </w:rPr>
        <w:t>which interalia provides the following;</w:t>
      </w:r>
    </w:p>
    <w:p w:rsidR="004276A0" w:rsidRPr="00BF0E9D" w:rsidRDefault="004276A0" w:rsidP="006935E2">
      <w:pPr>
        <w:numPr>
          <w:ilvl w:val="0"/>
          <w:numId w:val="4"/>
        </w:numPr>
        <w:spacing w:line="360" w:lineRule="auto"/>
        <w:jc w:val="both"/>
        <w:rPr>
          <w:rFonts w:ascii="Cambria" w:hAnsi="Cambria" w:cs="Arial"/>
        </w:rPr>
      </w:pPr>
      <w:r w:rsidRPr="00BF0E9D">
        <w:rPr>
          <w:rFonts w:ascii="Cambria" w:hAnsi="Cambria" w:cs="Arial"/>
        </w:rPr>
        <w:t xml:space="preserve">The Discoms shall repay the outstanding loans including interest along with the securitised BST dues as on 31.03.2005 in ten years 120 monthly equal installments starting from FY 2006-07. </w:t>
      </w:r>
    </w:p>
    <w:p w:rsidR="004276A0" w:rsidRPr="00BF0E9D" w:rsidRDefault="004276A0" w:rsidP="006935E2">
      <w:pPr>
        <w:numPr>
          <w:ilvl w:val="0"/>
          <w:numId w:val="4"/>
        </w:numPr>
        <w:spacing w:line="360" w:lineRule="auto"/>
        <w:jc w:val="both"/>
        <w:rPr>
          <w:rFonts w:ascii="Cambria" w:hAnsi="Cambria" w:cs="Arial"/>
        </w:rPr>
      </w:pPr>
      <w:r w:rsidRPr="00BF0E9D">
        <w:rPr>
          <w:rFonts w:ascii="Cambria" w:hAnsi="Cambria" w:cs="Arial"/>
        </w:rPr>
        <w:lastRenderedPageBreak/>
        <w:t>In case of default of monthly dues by the DISTCOs they shall liable to pay the Delayed Payment Surcharge (DPS) @1.25% per month.</w:t>
      </w:r>
    </w:p>
    <w:p w:rsidR="003A14B6" w:rsidRPr="00BF0E9D" w:rsidRDefault="004276A0" w:rsidP="003A14B6">
      <w:pPr>
        <w:spacing w:line="360" w:lineRule="auto"/>
        <w:ind w:left="1740"/>
        <w:jc w:val="both"/>
        <w:rPr>
          <w:rFonts w:ascii="Cambria" w:hAnsi="Cambria" w:cs="Arial"/>
        </w:rPr>
      </w:pPr>
      <w:r w:rsidRPr="00BF0E9D">
        <w:rPr>
          <w:rFonts w:ascii="Cambria" w:hAnsi="Cambria" w:cs="Arial"/>
        </w:rPr>
        <w:t xml:space="preserve">The BST outstanding and the loan liability will carry 0% rate of Interest. At the same time the interest on the Bonds issued by GRIDCO against the power outstanding due to Gencos would be passed through in the BST. </w:t>
      </w:r>
    </w:p>
    <w:p w:rsidR="003A14B6" w:rsidRPr="003A14B6" w:rsidRDefault="003A14B6" w:rsidP="003A14B6">
      <w:pPr>
        <w:spacing w:line="360" w:lineRule="auto"/>
        <w:jc w:val="both"/>
        <w:rPr>
          <w:rFonts w:ascii="Cambria" w:hAnsi="Cambria" w:cs="Arial"/>
        </w:rPr>
      </w:pPr>
      <w:r w:rsidRPr="003A14B6">
        <w:rPr>
          <w:rFonts w:ascii="Cambria" w:hAnsi="Cambria" w:cs="Arial"/>
        </w:rPr>
        <w:t xml:space="preserve">The Hon’ble Commission included the opening BST outstanding as on 1.4.1999 and the Delayed Payment Surcharged upto the date of full payment of BST to be securitized. Therefore the </w:t>
      </w:r>
      <w:r w:rsidR="006C38E9">
        <w:rPr>
          <w:rFonts w:ascii="Cambria" w:hAnsi="Cambria" w:cs="Arial"/>
        </w:rPr>
        <w:t>Utility</w:t>
      </w:r>
      <w:r w:rsidRPr="003A14B6">
        <w:rPr>
          <w:rFonts w:ascii="Cambria" w:hAnsi="Cambria" w:cs="Arial"/>
        </w:rPr>
        <w:t xml:space="preserve"> was additionally burden by an amount of Rs. </w:t>
      </w:r>
      <w:r w:rsidR="00347747">
        <w:rPr>
          <w:rFonts w:ascii="Cambria" w:hAnsi="Cambria" w:cs="Arial"/>
        </w:rPr>
        <w:t>19.60</w:t>
      </w:r>
      <w:r w:rsidRPr="003A14B6">
        <w:rPr>
          <w:rFonts w:ascii="Cambria" w:hAnsi="Cambria" w:cs="Arial"/>
        </w:rPr>
        <w:t xml:space="preserve"> Crore</w:t>
      </w:r>
      <w:r w:rsidR="00347747">
        <w:rPr>
          <w:rFonts w:ascii="Cambria" w:hAnsi="Cambria" w:cs="Arial"/>
        </w:rPr>
        <w:t xml:space="preserve"> in </w:t>
      </w:r>
      <w:r w:rsidRPr="003A14B6">
        <w:rPr>
          <w:rFonts w:ascii="Cambria" w:hAnsi="Cambria" w:cs="Arial"/>
        </w:rPr>
        <w:t>openi</w:t>
      </w:r>
      <w:r w:rsidR="00347747">
        <w:rPr>
          <w:rFonts w:ascii="Cambria" w:hAnsi="Cambria" w:cs="Arial"/>
        </w:rPr>
        <w:t>ng balance.</w:t>
      </w:r>
    </w:p>
    <w:p w:rsidR="004276A0" w:rsidRPr="00BF0E9D" w:rsidRDefault="004276A0" w:rsidP="004276A0">
      <w:pPr>
        <w:spacing w:line="360" w:lineRule="auto"/>
        <w:jc w:val="both"/>
        <w:rPr>
          <w:rFonts w:ascii="Cambria" w:hAnsi="Cambria" w:cs="Arial"/>
        </w:rPr>
      </w:pPr>
      <w:r w:rsidRPr="00BF0E9D">
        <w:rPr>
          <w:rFonts w:ascii="Cambria" w:hAnsi="Cambria" w:cs="Arial"/>
        </w:rPr>
        <w:t>It was submitted that the Hon’ble Commission has already established a procedure for securitization in matters pertaining to the sale of CESCO as decided in the order approving the transaction documents for the sale of the Central Zone Electricity Distribution and retail supply Utility. The said order specifies the opening balance sheet and terms and conditions for repayment of the liabilities of GRIDCO. The terms and conditions of repayment of GRIDCO Loan &amp; BST outstanding is as under;</w:t>
      </w:r>
    </w:p>
    <w:p w:rsidR="004276A0" w:rsidRPr="00BF0E9D" w:rsidRDefault="004276A0" w:rsidP="006935E2">
      <w:pPr>
        <w:numPr>
          <w:ilvl w:val="2"/>
          <w:numId w:val="4"/>
        </w:numPr>
        <w:tabs>
          <w:tab w:val="clear" w:pos="2820"/>
        </w:tabs>
        <w:spacing w:line="360" w:lineRule="auto"/>
        <w:ind w:left="1440" w:hanging="360"/>
        <w:jc w:val="both"/>
        <w:rPr>
          <w:rFonts w:ascii="Cambria" w:hAnsi="Cambria" w:cs="Arial"/>
        </w:rPr>
      </w:pPr>
      <w:r w:rsidRPr="00BF0E9D">
        <w:rPr>
          <w:rFonts w:ascii="Cambria" w:hAnsi="Cambria" w:cs="Arial"/>
          <w:b/>
          <w:bCs/>
        </w:rPr>
        <w:t>GRIDCO loan</w:t>
      </w:r>
      <w:r w:rsidRPr="00BF0E9D">
        <w:rPr>
          <w:rFonts w:ascii="Cambria" w:hAnsi="Cambria" w:cs="Arial"/>
        </w:rPr>
        <w:t xml:space="preserve"> liability would be repaid in </w:t>
      </w:r>
      <w:r w:rsidRPr="00BF0E9D">
        <w:rPr>
          <w:rFonts w:ascii="Cambria" w:hAnsi="Cambria" w:cs="Arial"/>
          <w:b/>
          <w:bCs/>
        </w:rPr>
        <w:t>10 equal annual installments after a moratorium of 5 years</w:t>
      </w:r>
      <w:r w:rsidRPr="00BF0E9D">
        <w:rPr>
          <w:rFonts w:ascii="Cambria" w:hAnsi="Cambria" w:cs="Arial"/>
        </w:rPr>
        <w:t xml:space="preserve"> from 01.04.2006. This carries interest rate of 0%.</w:t>
      </w:r>
    </w:p>
    <w:p w:rsidR="004276A0" w:rsidRDefault="004276A0" w:rsidP="006935E2">
      <w:pPr>
        <w:numPr>
          <w:ilvl w:val="2"/>
          <w:numId w:val="4"/>
        </w:numPr>
        <w:tabs>
          <w:tab w:val="clear" w:pos="2820"/>
        </w:tabs>
        <w:spacing w:line="360" w:lineRule="auto"/>
        <w:ind w:left="1440" w:hanging="360"/>
        <w:jc w:val="both"/>
        <w:rPr>
          <w:rFonts w:ascii="Cambria" w:hAnsi="Cambria" w:cs="Arial"/>
        </w:rPr>
      </w:pPr>
      <w:r w:rsidRPr="00BF0E9D">
        <w:rPr>
          <w:rFonts w:ascii="Cambria" w:hAnsi="Cambria" w:cs="Arial"/>
          <w:b/>
          <w:bCs/>
        </w:rPr>
        <w:t>BST outstanding</w:t>
      </w:r>
      <w:r w:rsidRPr="00BF0E9D">
        <w:rPr>
          <w:rFonts w:ascii="Cambria" w:hAnsi="Cambria" w:cs="Arial"/>
        </w:rPr>
        <w:t xml:space="preserve"> would be converted into Zero coupon preference shares of </w:t>
      </w:r>
      <w:r w:rsidRPr="00BF0E9D">
        <w:rPr>
          <w:rFonts w:ascii="Cambria" w:hAnsi="Cambria" w:cs="Arial"/>
          <w:b/>
          <w:bCs/>
        </w:rPr>
        <w:t>20 years maturity</w:t>
      </w:r>
      <w:r w:rsidRPr="00BF0E9D">
        <w:rPr>
          <w:rFonts w:ascii="Cambria" w:hAnsi="Cambria" w:cs="Arial"/>
        </w:rPr>
        <w:t>, with a moratorium period of 7years and to be redeemed into 52 equated quarterly installments from 8</w:t>
      </w:r>
      <w:r w:rsidRPr="00BF0E9D">
        <w:rPr>
          <w:rFonts w:ascii="Cambria" w:hAnsi="Cambria" w:cs="Arial"/>
          <w:vertAlign w:val="superscript"/>
        </w:rPr>
        <w:t>th</w:t>
      </w:r>
      <w:r w:rsidRPr="00BF0E9D">
        <w:rPr>
          <w:rFonts w:ascii="Cambria" w:hAnsi="Cambria" w:cs="Arial"/>
        </w:rPr>
        <w:t xml:space="preserve"> year onwards. </w:t>
      </w:r>
    </w:p>
    <w:p w:rsidR="00C525F2" w:rsidRDefault="00C525F2" w:rsidP="003A14B6">
      <w:pPr>
        <w:spacing w:line="360" w:lineRule="auto"/>
        <w:jc w:val="both"/>
        <w:rPr>
          <w:rFonts w:ascii="Cambria" w:hAnsi="Cambria" w:cs="Arial"/>
          <w:b/>
        </w:rPr>
      </w:pPr>
    </w:p>
    <w:p w:rsidR="003A14B6" w:rsidRPr="00BF0E9D" w:rsidRDefault="003A14B6" w:rsidP="003A14B6">
      <w:pPr>
        <w:spacing w:line="360" w:lineRule="auto"/>
        <w:jc w:val="both"/>
        <w:rPr>
          <w:rFonts w:ascii="Cambria" w:hAnsi="Cambria" w:cs="Arial"/>
          <w:b/>
        </w:rPr>
      </w:pPr>
      <w:r w:rsidRPr="00BF0E9D">
        <w:rPr>
          <w:rFonts w:ascii="Cambria" w:hAnsi="Cambria" w:cs="Arial"/>
          <w:b/>
        </w:rPr>
        <w:t xml:space="preserve">The </w:t>
      </w:r>
      <w:r w:rsidR="006C38E9">
        <w:rPr>
          <w:rFonts w:ascii="Cambria" w:hAnsi="Cambria" w:cs="Arial"/>
          <w:b/>
        </w:rPr>
        <w:t>Utility</w:t>
      </w:r>
      <w:r w:rsidRPr="00BF0E9D">
        <w:rPr>
          <w:rFonts w:ascii="Cambria" w:hAnsi="Cambria" w:cs="Arial"/>
          <w:b/>
        </w:rPr>
        <w:t xml:space="preserve"> submits before the Hon’ble commission to allow the </w:t>
      </w:r>
      <w:r w:rsidR="006C38E9">
        <w:rPr>
          <w:rFonts w:ascii="Cambria" w:hAnsi="Cambria" w:cs="Arial"/>
          <w:b/>
        </w:rPr>
        <w:t>Utility</w:t>
      </w:r>
      <w:r w:rsidRPr="00BF0E9D">
        <w:rPr>
          <w:rFonts w:ascii="Cambria" w:hAnsi="Cambria" w:cs="Arial"/>
          <w:b/>
        </w:rPr>
        <w:t xml:space="preserve"> to pay the amount of the securitized amount based on ability to pay basis considering the </w:t>
      </w:r>
      <w:r>
        <w:rPr>
          <w:rFonts w:ascii="Cambria" w:hAnsi="Cambria" w:cs="Arial"/>
          <w:b/>
        </w:rPr>
        <w:t>above proposal</w:t>
      </w:r>
      <w:r w:rsidRPr="00BF0E9D">
        <w:rPr>
          <w:rFonts w:ascii="Cambria" w:hAnsi="Cambria" w:cs="Arial"/>
          <w:b/>
        </w:rPr>
        <w:t xml:space="preserve">. </w:t>
      </w:r>
    </w:p>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 xml:space="preserve">Further the Commission in its Order dated 29.03.2012 and 30.03.2012 resolved the dispute on the Power Bond and </w:t>
      </w:r>
      <w:r w:rsidR="004C3702">
        <w:rPr>
          <w:rFonts w:ascii="Cambria" w:hAnsi="Cambria" w:cs="Arial"/>
          <w:sz w:val="24"/>
          <w:szCs w:val="24"/>
        </w:rPr>
        <w:t>t</w:t>
      </w:r>
      <w:r w:rsidR="00AB3BAC">
        <w:rPr>
          <w:rFonts w:ascii="Cambria" w:hAnsi="Cambria" w:cs="Arial"/>
          <w:sz w:val="24"/>
          <w:szCs w:val="24"/>
        </w:rPr>
        <w:t xml:space="preserve">here is </w:t>
      </w:r>
      <w:r w:rsidR="00B15A10">
        <w:rPr>
          <w:rFonts w:ascii="Cambria" w:hAnsi="Cambria" w:cs="Arial"/>
          <w:sz w:val="24"/>
          <w:szCs w:val="24"/>
        </w:rPr>
        <w:t>an</w:t>
      </w:r>
      <w:r w:rsidR="00AB3BAC">
        <w:rPr>
          <w:rFonts w:ascii="Cambria" w:hAnsi="Cambria" w:cs="Arial"/>
          <w:sz w:val="24"/>
          <w:szCs w:val="24"/>
        </w:rPr>
        <w:t xml:space="preserve"> outstanding </w:t>
      </w:r>
      <w:r w:rsidR="00B15A10">
        <w:rPr>
          <w:rFonts w:ascii="Cambria" w:hAnsi="Cambria" w:cs="Arial"/>
          <w:sz w:val="24"/>
          <w:szCs w:val="24"/>
        </w:rPr>
        <w:t xml:space="preserve">of Rs. 48.91 crs. </w:t>
      </w:r>
      <w:r w:rsidR="00E26E91">
        <w:rPr>
          <w:rFonts w:ascii="Cambria" w:hAnsi="Cambria" w:cs="Arial"/>
          <w:sz w:val="24"/>
          <w:szCs w:val="24"/>
        </w:rPr>
        <w:t xml:space="preserve">payable to GRIDCO towards </w:t>
      </w:r>
      <w:r w:rsidR="004C3702">
        <w:rPr>
          <w:rFonts w:ascii="Cambria" w:hAnsi="Cambria" w:cs="Arial"/>
          <w:sz w:val="24"/>
          <w:szCs w:val="24"/>
        </w:rPr>
        <w:t>New Loan with regards to NTPC Power Bond.</w:t>
      </w:r>
    </w:p>
    <w:p w:rsidR="004276A0" w:rsidRPr="00BF0E9D" w:rsidRDefault="004276A0" w:rsidP="006935E2">
      <w:pPr>
        <w:pStyle w:val="Heading1"/>
        <w:numPr>
          <w:ilvl w:val="2"/>
          <w:numId w:val="8"/>
        </w:numPr>
        <w:spacing w:line="360" w:lineRule="auto"/>
        <w:jc w:val="both"/>
        <w:rPr>
          <w:rFonts w:ascii="Cambria" w:hAnsi="Cambria"/>
          <w:sz w:val="24"/>
          <w:szCs w:val="24"/>
        </w:rPr>
      </w:pPr>
      <w:bookmarkStart w:id="17" w:name="_Toc25850922"/>
      <w:r w:rsidRPr="00BF0E9D">
        <w:rPr>
          <w:rFonts w:ascii="Cambria" w:hAnsi="Cambria"/>
          <w:sz w:val="24"/>
          <w:szCs w:val="24"/>
        </w:rPr>
        <w:t>World Bank Loan</w:t>
      </w:r>
      <w:bookmarkEnd w:id="17"/>
    </w:p>
    <w:p w:rsidR="004276A0" w:rsidRPr="00BF0E9D" w:rsidRDefault="004276A0" w:rsidP="004276A0">
      <w:pPr>
        <w:spacing w:line="360" w:lineRule="auto"/>
        <w:jc w:val="both"/>
        <w:rPr>
          <w:rFonts w:ascii="Cambria" w:hAnsi="Cambria" w:cs="Arial"/>
        </w:rPr>
      </w:pPr>
      <w:r w:rsidRPr="00BF0E9D">
        <w:rPr>
          <w:rFonts w:ascii="Cambria" w:hAnsi="Cambria" w:cs="Arial"/>
        </w:rPr>
        <w:t xml:space="preserve">In line with the Commission’s previous Orders, the </w:t>
      </w:r>
      <w:r w:rsidR="006C38E9">
        <w:rPr>
          <w:rFonts w:ascii="Cambria" w:hAnsi="Cambria" w:cs="Arial"/>
        </w:rPr>
        <w:t>Utility</w:t>
      </w:r>
      <w:r w:rsidRPr="00BF0E9D">
        <w:rPr>
          <w:rFonts w:ascii="Cambria" w:hAnsi="Cambria" w:cs="Arial"/>
        </w:rPr>
        <w:t xml:space="preserve"> has calculated the interest on World Bank Loan @ 13% as per the subsidiary loan &amp; project implementation agreement with Government of Odisha, considering 30% of loan as grant and balance 70% as loan. </w:t>
      </w:r>
      <w:r w:rsidRPr="00BF0E9D">
        <w:rPr>
          <w:rFonts w:ascii="Cambria" w:hAnsi="Cambria" w:cs="Arial"/>
        </w:rPr>
        <w:lastRenderedPageBreak/>
        <w:t>The moratorium period and repayment period for the World Bank Loan has been considered based on the terms of the World Bank (communicated by World Bank to GoO vide its letter dated June 13, 2000). In line with these terms, the repayment period has been considered as 10 years with 20 equal semi-annual ins</w:t>
      </w:r>
      <w:r w:rsidR="00351C2A">
        <w:rPr>
          <w:rFonts w:ascii="Cambria" w:hAnsi="Cambria" w:cs="Arial"/>
        </w:rPr>
        <w:t>tallments commencing from FY 2020-21</w:t>
      </w:r>
      <w:r w:rsidRPr="00BF0E9D">
        <w:rPr>
          <w:rFonts w:ascii="Cambria" w:hAnsi="Cambria" w:cs="Arial"/>
        </w:rPr>
        <w:t xml:space="preserve">. </w:t>
      </w:r>
    </w:p>
    <w:p w:rsidR="004276A0" w:rsidRPr="00BF0E9D" w:rsidRDefault="00351C2A" w:rsidP="004276A0">
      <w:pPr>
        <w:spacing w:line="360" w:lineRule="auto"/>
        <w:jc w:val="both"/>
        <w:rPr>
          <w:rFonts w:ascii="Cambria" w:hAnsi="Cambria" w:cs="Arial"/>
        </w:rPr>
      </w:pPr>
      <w:r>
        <w:rPr>
          <w:rFonts w:ascii="Cambria" w:hAnsi="Cambria" w:cs="Arial"/>
        </w:rPr>
        <w:t>For the ensuing year 2020-21</w:t>
      </w:r>
      <w:r w:rsidR="004276A0" w:rsidRPr="00BF0E9D">
        <w:rPr>
          <w:rFonts w:ascii="Cambria" w:hAnsi="Cambria" w:cs="Arial"/>
        </w:rPr>
        <w:t xml:space="preserve">, the interest liability is estimated at </w:t>
      </w:r>
      <w:r w:rsidR="00AB3BAC">
        <w:rPr>
          <w:rFonts w:ascii="Cambria" w:hAnsi="Cambria" w:cs="Arial"/>
        </w:rPr>
        <w:t>Rs</w:t>
      </w:r>
      <w:r w:rsidR="00347747">
        <w:rPr>
          <w:rFonts w:ascii="Cambria" w:hAnsi="Cambria" w:cs="Arial"/>
        </w:rPr>
        <w:t>.11.87</w:t>
      </w:r>
      <w:r w:rsidR="00B2720F">
        <w:rPr>
          <w:rFonts w:ascii="Cambria" w:hAnsi="Cambria" w:cs="Arial"/>
        </w:rPr>
        <w:t xml:space="preserve"> </w:t>
      </w:r>
      <w:r w:rsidR="004276A0" w:rsidRPr="00BF0E9D">
        <w:rPr>
          <w:rFonts w:ascii="Cambria" w:hAnsi="Cambria" w:cs="Arial"/>
        </w:rPr>
        <w:t>Crore</w:t>
      </w:r>
      <w:r w:rsidR="00347747">
        <w:rPr>
          <w:rFonts w:ascii="Cambria" w:hAnsi="Cambria" w:cs="Arial"/>
        </w:rPr>
        <w:t xml:space="preserve">. </w:t>
      </w:r>
    </w:p>
    <w:p w:rsidR="004276A0" w:rsidRPr="00BF0E9D" w:rsidRDefault="004276A0" w:rsidP="006935E2">
      <w:pPr>
        <w:pStyle w:val="Heading1"/>
        <w:numPr>
          <w:ilvl w:val="2"/>
          <w:numId w:val="8"/>
        </w:numPr>
        <w:spacing w:line="360" w:lineRule="auto"/>
        <w:jc w:val="both"/>
        <w:rPr>
          <w:rFonts w:ascii="Cambria" w:hAnsi="Cambria"/>
          <w:sz w:val="24"/>
          <w:szCs w:val="24"/>
        </w:rPr>
      </w:pPr>
      <w:bookmarkStart w:id="18" w:name="_Toc25850923"/>
      <w:r w:rsidRPr="00BF0E9D">
        <w:rPr>
          <w:rFonts w:ascii="Cambria" w:hAnsi="Cambria"/>
          <w:sz w:val="24"/>
          <w:szCs w:val="24"/>
        </w:rPr>
        <w:t>Capex Loan from Govt. of Odisha</w:t>
      </w:r>
      <w:bookmarkEnd w:id="18"/>
    </w:p>
    <w:p w:rsidR="004276A0" w:rsidRPr="00BF0E9D" w:rsidRDefault="004276A0" w:rsidP="004276A0">
      <w:pPr>
        <w:pStyle w:val="BodyText2"/>
        <w:tabs>
          <w:tab w:val="left" w:pos="0"/>
        </w:tabs>
        <w:spacing w:line="360" w:lineRule="auto"/>
        <w:jc w:val="both"/>
        <w:rPr>
          <w:rFonts w:ascii="Cambria" w:hAnsi="Cambria" w:cs="Arial"/>
          <w:sz w:val="24"/>
          <w:szCs w:val="24"/>
        </w:rPr>
      </w:pPr>
      <w:r w:rsidRPr="00BF0E9D">
        <w:rPr>
          <w:rFonts w:ascii="Cambria" w:hAnsi="Cambria" w:cs="Arial"/>
          <w:sz w:val="24"/>
          <w:szCs w:val="24"/>
        </w:rPr>
        <w:t>During the ensuing year an amount of Rs.</w:t>
      </w:r>
      <w:r w:rsidR="000054A9">
        <w:rPr>
          <w:rFonts w:ascii="Cambria" w:hAnsi="Cambria" w:cs="Arial"/>
          <w:sz w:val="24"/>
          <w:szCs w:val="24"/>
        </w:rPr>
        <w:t>1.73</w:t>
      </w:r>
      <w:r w:rsidRPr="00BF0E9D">
        <w:rPr>
          <w:rFonts w:ascii="Cambria" w:hAnsi="Cambria" w:cs="Arial"/>
          <w:sz w:val="24"/>
          <w:szCs w:val="24"/>
        </w:rPr>
        <w:t xml:space="preserve"> crs towards interest has been estimated towards Govt. of Odisha Capex plan loan. As per the scheme an amount of Rs</w:t>
      </w:r>
      <w:r w:rsidR="00F03B2F">
        <w:rPr>
          <w:rFonts w:ascii="Cambria" w:hAnsi="Cambria" w:cs="Arial"/>
          <w:sz w:val="24"/>
          <w:szCs w:val="24"/>
        </w:rPr>
        <w:t>.</w:t>
      </w:r>
      <w:r w:rsidR="00B31C06">
        <w:rPr>
          <w:rFonts w:ascii="Cambria" w:hAnsi="Cambria" w:cs="Arial"/>
          <w:sz w:val="24"/>
          <w:szCs w:val="24"/>
        </w:rPr>
        <w:t>1</w:t>
      </w:r>
      <w:r w:rsidR="000054A9">
        <w:rPr>
          <w:rFonts w:ascii="Cambria" w:hAnsi="Cambria" w:cs="Arial"/>
          <w:sz w:val="24"/>
          <w:szCs w:val="24"/>
        </w:rPr>
        <w:t>4</w:t>
      </w:r>
      <w:r w:rsidR="007C54BF">
        <w:rPr>
          <w:rFonts w:ascii="Cambria" w:hAnsi="Cambria" w:cs="Arial"/>
          <w:sz w:val="24"/>
          <w:szCs w:val="24"/>
        </w:rPr>
        <w:t>7.77</w:t>
      </w:r>
      <w:r w:rsidR="000A1C1B">
        <w:rPr>
          <w:rFonts w:ascii="Cambria" w:hAnsi="Cambria" w:cs="Arial"/>
          <w:sz w:val="24"/>
          <w:szCs w:val="24"/>
        </w:rPr>
        <w:t xml:space="preserve"> crs has been disbursed till Mar</w:t>
      </w:r>
      <w:r w:rsidR="00F03B2F">
        <w:rPr>
          <w:rFonts w:ascii="Cambria" w:hAnsi="Cambria" w:cs="Arial"/>
          <w:sz w:val="24"/>
          <w:szCs w:val="24"/>
        </w:rPr>
        <w:t>-1</w:t>
      </w:r>
      <w:r w:rsidR="00351C2A">
        <w:rPr>
          <w:rFonts w:ascii="Cambria" w:hAnsi="Cambria" w:cs="Arial"/>
          <w:sz w:val="24"/>
          <w:szCs w:val="24"/>
        </w:rPr>
        <w:t>9</w:t>
      </w:r>
      <w:r w:rsidR="00F03B2F">
        <w:rPr>
          <w:rFonts w:ascii="Cambria" w:hAnsi="Cambria" w:cs="Arial"/>
          <w:sz w:val="24"/>
          <w:szCs w:val="24"/>
        </w:rPr>
        <w:t xml:space="preserve"> and another Rs.</w:t>
      </w:r>
      <w:r w:rsidR="007C54BF">
        <w:rPr>
          <w:rFonts w:ascii="Cambria" w:hAnsi="Cambria" w:cs="Arial"/>
          <w:sz w:val="24"/>
          <w:szCs w:val="24"/>
        </w:rPr>
        <w:t>36.50</w:t>
      </w:r>
      <w:r w:rsidR="000A1C1B">
        <w:rPr>
          <w:rFonts w:ascii="Cambria" w:hAnsi="Cambria" w:cs="Arial"/>
          <w:sz w:val="24"/>
          <w:szCs w:val="24"/>
        </w:rPr>
        <w:t xml:space="preserve"> </w:t>
      </w:r>
      <w:r w:rsidR="009E2D45">
        <w:rPr>
          <w:rFonts w:ascii="Cambria" w:hAnsi="Cambria" w:cs="Arial"/>
          <w:sz w:val="24"/>
          <w:szCs w:val="24"/>
        </w:rPr>
        <w:t>c</w:t>
      </w:r>
      <w:r w:rsidRPr="00BF0E9D">
        <w:rPr>
          <w:rFonts w:ascii="Cambria" w:hAnsi="Cambria" w:cs="Arial"/>
          <w:sz w:val="24"/>
          <w:szCs w:val="24"/>
        </w:rPr>
        <w:t xml:space="preserve">rs during the current year </w:t>
      </w:r>
      <w:r w:rsidR="00F03B2F">
        <w:rPr>
          <w:rFonts w:ascii="Cambria" w:hAnsi="Cambria" w:cs="Arial"/>
          <w:sz w:val="24"/>
          <w:szCs w:val="24"/>
        </w:rPr>
        <w:t xml:space="preserve">has been estimated </w:t>
      </w:r>
      <w:r w:rsidR="00086E59">
        <w:rPr>
          <w:rFonts w:ascii="Cambria" w:hAnsi="Cambria" w:cs="Arial"/>
          <w:sz w:val="24"/>
          <w:szCs w:val="24"/>
        </w:rPr>
        <w:t xml:space="preserve">to be </w:t>
      </w:r>
      <w:r w:rsidR="00F03B2F">
        <w:rPr>
          <w:rFonts w:ascii="Cambria" w:hAnsi="Cambria" w:cs="Arial"/>
          <w:sz w:val="24"/>
          <w:szCs w:val="24"/>
        </w:rPr>
        <w:t>disburse</w:t>
      </w:r>
      <w:r w:rsidR="00086E59">
        <w:rPr>
          <w:rFonts w:ascii="Cambria" w:hAnsi="Cambria" w:cs="Arial"/>
          <w:sz w:val="24"/>
          <w:szCs w:val="24"/>
        </w:rPr>
        <w:t>d</w:t>
      </w:r>
      <w:r w:rsidR="00F03B2F">
        <w:rPr>
          <w:rFonts w:ascii="Cambria" w:hAnsi="Cambria" w:cs="Arial"/>
          <w:sz w:val="24"/>
          <w:szCs w:val="24"/>
        </w:rPr>
        <w:t xml:space="preserve"> </w:t>
      </w:r>
      <w:r w:rsidR="00086E59">
        <w:rPr>
          <w:rFonts w:ascii="Cambria" w:hAnsi="Cambria" w:cs="Arial"/>
          <w:sz w:val="24"/>
          <w:szCs w:val="24"/>
        </w:rPr>
        <w:t>through GRIDCO, totaling to Rs.1</w:t>
      </w:r>
      <w:r w:rsidR="007C54BF">
        <w:rPr>
          <w:rFonts w:ascii="Cambria" w:hAnsi="Cambria" w:cs="Arial"/>
          <w:sz w:val="24"/>
          <w:szCs w:val="24"/>
        </w:rPr>
        <w:t>84.27</w:t>
      </w:r>
      <w:r w:rsidR="00086E59">
        <w:rPr>
          <w:rFonts w:ascii="Cambria" w:hAnsi="Cambria" w:cs="Arial"/>
          <w:sz w:val="24"/>
          <w:szCs w:val="24"/>
        </w:rPr>
        <w:t xml:space="preserve"> crs under a</w:t>
      </w:r>
      <w:r w:rsidRPr="00BF0E9D">
        <w:rPr>
          <w:rFonts w:ascii="Cambria" w:hAnsi="Cambria" w:cs="Arial"/>
          <w:sz w:val="24"/>
          <w:szCs w:val="24"/>
        </w:rPr>
        <w:t>bove scheme. The rate of interest is considered @ 4% p.a for the ensuing year on the above loan</w:t>
      </w:r>
      <w:r w:rsidR="00E26E91">
        <w:rPr>
          <w:rFonts w:ascii="Cambria" w:hAnsi="Cambria" w:cs="Arial"/>
          <w:sz w:val="24"/>
          <w:szCs w:val="24"/>
        </w:rPr>
        <w:t xml:space="preserve"> as per claim of GRIDCO</w:t>
      </w:r>
      <w:r w:rsidRPr="00BF0E9D">
        <w:rPr>
          <w:rFonts w:ascii="Cambria" w:hAnsi="Cambria" w:cs="Arial"/>
          <w:sz w:val="24"/>
          <w:szCs w:val="24"/>
        </w:rPr>
        <w:t xml:space="preserve">.  </w:t>
      </w:r>
    </w:p>
    <w:p w:rsidR="004276A0" w:rsidRPr="00BF0E9D" w:rsidRDefault="004276A0" w:rsidP="006935E2">
      <w:pPr>
        <w:pStyle w:val="Heading1"/>
        <w:numPr>
          <w:ilvl w:val="2"/>
          <w:numId w:val="8"/>
        </w:numPr>
        <w:spacing w:line="360" w:lineRule="auto"/>
        <w:jc w:val="both"/>
        <w:rPr>
          <w:rFonts w:ascii="Cambria" w:hAnsi="Cambria"/>
          <w:sz w:val="24"/>
          <w:szCs w:val="24"/>
        </w:rPr>
      </w:pPr>
      <w:bookmarkStart w:id="19" w:name="_Toc25850924"/>
      <w:r w:rsidRPr="00BF0E9D">
        <w:rPr>
          <w:rFonts w:ascii="Cambria" w:hAnsi="Cambria"/>
          <w:sz w:val="24"/>
          <w:szCs w:val="24"/>
        </w:rPr>
        <w:t>Interest on Security Deposit</w:t>
      </w:r>
      <w:bookmarkEnd w:id="19"/>
    </w:p>
    <w:p w:rsidR="004276A0" w:rsidRPr="00BF0E9D" w:rsidRDefault="004276A0" w:rsidP="004276A0">
      <w:pPr>
        <w:pStyle w:val="PwcUttaranchalNormalTextFinalCharChar"/>
        <w:rPr>
          <w:rFonts w:ascii="Cambria" w:hAnsi="Cambria"/>
        </w:rPr>
      </w:pPr>
      <w:r w:rsidRPr="00BF0E9D">
        <w:rPr>
          <w:rFonts w:ascii="Cambria" w:hAnsi="Cambria"/>
        </w:rPr>
        <w:t xml:space="preserve">Section 47(4) of the Electricity Act 2003 states that “The distribution </w:t>
      </w:r>
      <w:r w:rsidR="006C38E9">
        <w:rPr>
          <w:rFonts w:ascii="Cambria" w:hAnsi="Cambria"/>
        </w:rPr>
        <w:t>Utility</w:t>
      </w:r>
      <w:r w:rsidRPr="00BF0E9D">
        <w:rPr>
          <w:rFonts w:ascii="Cambria" w:hAnsi="Cambria"/>
        </w:rPr>
        <w:t xml:space="preserve"> shall pay interest equivalent to the bank rate or more, as may be specified by the concerned State Commission, on the security referred to in sub-section (1) and refund such security on the request of the person who gave such security.” </w:t>
      </w:r>
    </w:p>
    <w:p w:rsidR="004276A0" w:rsidRPr="00BF0E9D" w:rsidRDefault="004276A0" w:rsidP="004276A0">
      <w:pPr>
        <w:pStyle w:val="PwcUttaranchalNormalTextFinalCharChar"/>
        <w:rPr>
          <w:rFonts w:ascii="Cambria" w:hAnsi="Cambria"/>
        </w:rPr>
      </w:pPr>
      <w:r w:rsidRPr="00BF0E9D">
        <w:rPr>
          <w:rFonts w:ascii="Cambria" w:hAnsi="Cambria"/>
        </w:rPr>
        <w:t xml:space="preserve">The OERC Distribution (Conditions of Supply) Code 2004, Regulation (21) also mandates the payment of interest on consumer security deposit, the manner in which it is to be administered and penal provisions for delay in making such payments. </w:t>
      </w:r>
    </w:p>
    <w:p w:rsidR="004276A0" w:rsidRDefault="004276A0" w:rsidP="004276A0">
      <w:pPr>
        <w:spacing w:line="360" w:lineRule="auto"/>
        <w:jc w:val="both"/>
        <w:rPr>
          <w:rFonts w:ascii="Cambria" w:hAnsi="Cambria" w:cs="Arial"/>
        </w:rPr>
      </w:pPr>
      <w:r w:rsidRPr="00BF0E9D">
        <w:rPr>
          <w:rFonts w:ascii="Cambria" w:hAnsi="Cambria" w:cs="Arial"/>
        </w:rPr>
        <w:t xml:space="preserve">The </w:t>
      </w:r>
      <w:r w:rsidR="006C38E9">
        <w:rPr>
          <w:rFonts w:ascii="Cambria" w:hAnsi="Cambria" w:cs="Arial"/>
        </w:rPr>
        <w:t>Utility</w:t>
      </w:r>
      <w:r w:rsidRPr="00BF0E9D">
        <w:rPr>
          <w:rFonts w:ascii="Cambria" w:hAnsi="Cambria" w:cs="Arial"/>
        </w:rPr>
        <w:t xml:space="preserve"> have calculated the interest on security deposit @ </w:t>
      </w:r>
      <w:r w:rsidR="000A1C1B">
        <w:rPr>
          <w:rFonts w:ascii="Cambria" w:hAnsi="Cambria" w:cs="Arial"/>
        </w:rPr>
        <w:t>6</w:t>
      </w:r>
      <w:r w:rsidR="00DB2420">
        <w:rPr>
          <w:rFonts w:ascii="Cambria" w:hAnsi="Cambria" w:cs="Arial"/>
        </w:rPr>
        <w:t>.5</w:t>
      </w:r>
      <w:r w:rsidR="007C54BF">
        <w:rPr>
          <w:rFonts w:ascii="Cambria" w:hAnsi="Cambria" w:cs="Arial"/>
        </w:rPr>
        <w:t>0</w:t>
      </w:r>
      <w:r w:rsidRPr="00BF0E9D">
        <w:rPr>
          <w:rFonts w:ascii="Cambria" w:hAnsi="Cambria" w:cs="Arial"/>
        </w:rPr>
        <w:t>%</w:t>
      </w:r>
      <w:r w:rsidR="00DB2420">
        <w:rPr>
          <w:rFonts w:ascii="Cambria" w:hAnsi="Cambria" w:cs="Arial"/>
        </w:rPr>
        <w:t xml:space="preserve"> </w:t>
      </w:r>
      <w:r w:rsidRPr="00BF0E9D">
        <w:rPr>
          <w:rFonts w:ascii="Cambria" w:hAnsi="Cambria" w:cs="Arial"/>
        </w:rPr>
        <w:t>on the closing balance of security deposit amount for FY 201</w:t>
      </w:r>
      <w:r w:rsidR="007C54BF">
        <w:rPr>
          <w:rFonts w:ascii="Cambria" w:hAnsi="Cambria" w:cs="Arial"/>
        </w:rPr>
        <w:t>9-20</w:t>
      </w:r>
      <w:r w:rsidR="00E26E91">
        <w:rPr>
          <w:rFonts w:ascii="Cambria" w:hAnsi="Cambria" w:cs="Arial"/>
        </w:rPr>
        <w:t xml:space="preserve"> based on the </w:t>
      </w:r>
      <w:r w:rsidR="00DB2420">
        <w:rPr>
          <w:rFonts w:ascii="Cambria" w:hAnsi="Cambria" w:cs="Arial"/>
        </w:rPr>
        <w:t xml:space="preserve">existing approval of Hon’ble </w:t>
      </w:r>
      <w:r w:rsidR="009449D8">
        <w:rPr>
          <w:rFonts w:ascii="Cambria" w:hAnsi="Cambria" w:cs="Arial"/>
        </w:rPr>
        <w:t>Commission</w:t>
      </w:r>
      <w:r w:rsidR="00DB2420">
        <w:rPr>
          <w:rFonts w:ascii="Cambria" w:hAnsi="Cambria" w:cs="Arial"/>
        </w:rPr>
        <w:t xml:space="preserve"> for FY 201</w:t>
      </w:r>
      <w:r w:rsidR="007C54BF">
        <w:rPr>
          <w:rFonts w:ascii="Cambria" w:hAnsi="Cambria" w:cs="Arial"/>
        </w:rPr>
        <w:t>9-20</w:t>
      </w:r>
      <w:r w:rsidR="00DB2420">
        <w:rPr>
          <w:rFonts w:ascii="Cambria" w:hAnsi="Cambria" w:cs="Arial"/>
        </w:rPr>
        <w:t xml:space="preserve">. </w:t>
      </w:r>
      <w:r w:rsidRPr="00BF0E9D">
        <w:rPr>
          <w:rFonts w:ascii="Cambria" w:hAnsi="Cambria" w:cs="Arial"/>
        </w:rPr>
        <w:t>The interest on security depo</w:t>
      </w:r>
      <w:r w:rsidR="007C54BF">
        <w:rPr>
          <w:rFonts w:ascii="Cambria" w:hAnsi="Cambria" w:cs="Arial"/>
        </w:rPr>
        <w:t>sit considered in ARR for FY 20</w:t>
      </w:r>
      <w:r w:rsidR="000054A9">
        <w:rPr>
          <w:rFonts w:ascii="Cambria" w:hAnsi="Cambria" w:cs="Arial"/>
        </w:rPr>
        <w:t>20</w:t>
      </w:r>
      <w:r w:rsidR="007C54BF">
        <w:rPr>
          <w:rFonts w:ascii="Cambria" w:hAnsi="Cambria" w:cs="Arial"/>
        </w:rPr>
        <w:t>-21</w:t>
      </w:r>
      <w:r w:rsidRPr="00BF0E9D">
        <w:rPr>
          <w:rFonts w:ascii="Cambria" w:hAnsi="Cambria" w:cs="Arial"/>
        </w:rPr>
        <w:t xml:space="preserve"> </w:t>
      </w:r>
      <w:r w:rsidR="009449D8" w:rsidRPr="00BF0E9D">
        <w:rPr>
          <w:rFonts w:ascii="Cambria" w:hAnsi="Cambria" w:cs="Arial"/>
        </w:rPr>
        <w:t>work</w:t>
      </w:r>
      <w:r w:rsidRPr="00BF0E9D">
        <w:rPr>
          <w:rFonts w:ascii="Cambria" w:hAnsi="Cambria" w:cs="Arial"/>
        </w:rPr>
        <w:t xml:space="preserve"> out to Rs</w:t>
      </w:r>
      <w:r w:rsidR="00B2720F">
        <w:rPr>
          <w:rFonts w:ascii="Cambria" w:hAnsi="Cambria" w:cs="Arial"/>
        </w:rPr>
        <w:t>.</w:t>
      </w:r>
      <w:r w:rsidR="00347747">
        <w:rPr>
          <w:rFonts w:ascii="Cambria" w:hAnsi="Cambria" w:cs="Arial"/>
        </w:rPr>
        <w:t>3</w:t>
      </w:r>
      <w:r w:rsidR="007C54BF">
        <w:rPr>
          <w:rFonts w:ascii="Cambria" w:hAnsi="Cambria" w:cs="Arial"/>
        </w:rPr>
        <w:t>9.</w:t>
      </w:r>
      <w:r w:rsidR="000054A9">
        <w:rPr>
          <w:rFonts w:ascii="Cambria" w:hAnsi="Cambria" w:cs="Arial"/>
        </w:rPr>
        <w:t>1</w:t>
      </w:r>
      <w:r w:rsidR="007C54BF">
        <w:rPr>
          <w:rFonts w:ascii="Cambria" w:hAnsi="Cambria" w:cs="Arial"/>
        </w:rPr>
        <w:t>0</w:t>
      </w:r>
      <w:r w:rsidR="00DB2420">
        <w:rPr>
          <w:rFonts w:ascii="Cambria" w:hAnsi="Cambria" w:cs="Arial"/>
        </w:rPr>
        <w:t xml:space="preserve"> Crore.</w:t>
      </w:r>
      <w:r w:rsidRPr="00BF0E9D">
        <w:rPr>
          <w:rFonts w:ascii="Cambria" w:hAnsi="Cambria" w:cs="Arial"/>
        </w:rPr>
        <w:t xml:space="preserve"> </w:t>
      </w:r>
    </w:p>
    <w:p w:rsidR="002B5826" w:rsidRDefault="002B5826" w:rsidP="004276A0">
      <w:pPr>
        <w:spacing w:line="360" w:lineRule="auto"/>
        <w:jc w:val="both"/>
        <w:rPr>
          <w:rFonts w:ascii="Cambria" w:hAnsi="Cambria" w:cs="Arial"/>
        </w:rPr>
      </w:pPr>
    </w:p>
    <w:p w:rsidR="002B5826" w:rsidRDefault="002B5826" w:rsidP="004276A0">
      <w:pPr>
        <w:spacing w:line="360" w:lineRule="auto"/>
        <w:jc w:val="both"/>
        <w:rPr>
          <w:rFonts w:ascii="Cambria" w:hAnsi="Cambria" w:cs="Arial"/>
        </w:rPr>
      </w:pPr>
    </w:p>
    <w:p w:rsidR="002B5826" w:rsidRPr="00BF0E9D" w:rsidRDefault="002B5826" w:rsidP="004276A0">
      <w:pPr>
        <w:spacing w:line="360" w:lineRule="auto"/>
        <w:jc w:val="both"/>
        <w:rPr>
          <w:rFonts w:ascii="Cambria" w:hAnsi="Cambria" w:cs="Arial"/>
        </w:rPr>
      </w:pPr>
    </w:p>
    <w:p w:rsidR="004276A0" w:rsidRPr="00BF0E9D" w:rsidRDefault="004276A0" w:rsidP="006935E2">
      <w:pPr>
        <w:pStyle w:val="Heading1"/>
        <w:numPr>
          <w:ilvl w:val="2"/>
          <w:numId w:val="8"/>
        </w:numPr>
        <w:spacing w:line="360" w:lineRule="auto"/>
        <w:jc w:val="both"/>
        <w:rPr>
          <w:rFonts w:ascii="Cambria" w:hAnsi="Cambria"/>
          <w:sz w:val="24"/>
          <w:szCs w:val="24"/>
        </w:rPr>
      </w:pPr>
      <w:bookmarkStart w:id="20" w:name="_Toc25850925"/>
      <w:r w:rsidRPr="00BF0E9D">
        <w:rPr>
          <w:rFonts w:ascii="Cambria" w:hAnsi="Cambria"/>
          <w:sz w:val="24"/>
          <w:szCs w:val="24"/>
        </w:rPr>
        <w:lastRenderedPageBreak/>
        <w:t>Total In</w:t>
      </w:r>
      <w:r w:rsidR="0018286A">
        <w:rPr>
          <w:rFonts w:ascii="Cambria" w:hAnsi="Cambria"/>
          <w:sz w:val="24"/>
          <w:szCs w:val="24"/>
        </w:rPr>
        <w:t>terest for Financial Year FY 20</w:t>
      </w:r>
      <w:r w:rsidR="000054A9">
        <w:rPr>
          <w:rFonts w:ascii="Cambria" w:hAnsi="Cambria"/>
          <w:sz w:val="24"/>
          <w:szCs w:val="24"/>
        </w:rPr>
        <w:t>20</w:t>
      </w:r>
      <w:r w:rsidR="0018286A">
        <w:rPr>
          <w:rFonts w:ascii="Cambria" w:hAnsi="Cambria"/>
          <w:sz w:val="24"/>
          <w:szCs w:val="24"/>
        </w:rPr>
        <w:t>-21</w:t>
      </w:r>
      <w:bookmarkEnd w:id="20"/>
    </w:p>
    <w:p w:rsidR="004276A0" w:rsidRPr="00BF0E9D" w:rsidRDefault="004276A0" w:rsidP="004276A0">
      <w:pPr>
        <w:pStyle w:val="BodyText2"/>
        <w:spacing w:line="360" w:lineRule="auto"/>
        <w:jc w:val="both"/>
        <w:rPr>
          <w:rFonts w:ascii="Cambria" w:hAnsi="Cambria" w:cs="Arial"/>
          <w:sz w:val="24"/>
          <w:szCs w:val="24"/>
        </w:rPr>
      </w:pPr>
      <w:bookmarkStart w:id="21" w:name="_Toc88894957"/>
      <w:r w:rsidRPr="00BF0E9D">
        <w:rPr>
          <w:rFonts w:ascii="Cambria" w:hAnsi="Cambria" w:cs="Arial"/>
          <w:sz w:val="24"/>
          <w:szCs w:val="24"/>
        </w:rPr>
        <w:t>The total interest expens</w:t>
      </w:r>
      <w:r w:rsidR="00B85590">
        <w:rPr>
          <w:rFonts w:ascii="Cambria" w:hAnsi="Cambria" w:cs="Arial"/>
          <w:sz w:val="24"/>
          <w:szCs w:val="24"/>
        </w:rPr>
        <w:t>es estimated for FY 2020-21</w:t>
      </w:r>
      <w:r w:rsidRPr="00BF0E9D">
        <w:rPr>
          <w:rFonts w:ascii="Cambria" w:hAnsi="Cambria" w:cs="Arial"/>
          <w:sz w:val="24"/>
          <w:szCs w:val="24"/>
        </w:rPr>
        <w:t xml:space="preserve"> is given in following Table:</w:t>
      </w:r>
    </w:p>
    <w:p w:rsidR="004276A0" w:rsidRPr="00BF0E9D" w:rsidRDefault="004276A0" w:rsidP="00331D79">
      <w:pPr>
        <w:pStyle w:val="BodyText2"/>
        <w:spacing w:line="360" w:lineRule="auto"/>
        <w:ind w:firstLine="720"/>
        <w:jc w:val="both"/>
        <w:rPr>
          <w:rFonts w:ascii="Cambria" w:hAnsi="Cambria" w:cs="Arial"/>
          <w:b/>
          <w:bCs/>
          <w:sz w:val="24"/>
          <w:szCs w:val="24"/>
        </w:rPr>
      </w:pPr>
      <w:r w:rsidRPr="00BF0E9D">
        <w:rPr>
          <w:rFonts w:ascii="Cambria" w:hAnsi="Cambria" w:cs="Arial"/>
          <w:b/>
          <w:bCs/>
          <w:sz w:val="24"/>
          <w:szCs w:val="24"/>
        </w:rPr>
        <w:t xml:space="preserve"> Summary of Interest Expenses</w:t>
      </w:r>
    </w:p>
    <w:tbl>
      <w:tblPr>
        <w:tblW w:w="0" w:type="auto"/>
        <w:tblInd w:w="799"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left w:w="115" w:type="dxa"/>
          <w:right w:w="115" w:type="dxa"/>
        </w:tblCellMar>
        <w:tblLook w:val="01E0"/>
      </w:tblPr>
      <w:tblGrid>
        <w:gridCol w:w="400"/>
        <w:gridCol w:w="5153"/>
        <w:gridCol w:w="1523"/>
      </w:tblGrid>
      <w:tr w:rsidR="004276A0" w:rsidRPr="00BF0E9D" w:rsidTr="00FB557B">
        <w:trPr>
          <w:trHeight w:val="254"/>
        </w:trPr>
        <w:tc>
          <w:tcPr>
            <w:tcW w:w="400" w:type="dxa"/>
            <w:shd w:val="clear" w:color="auto" w:fill="FFFFFF"/>
          </w:tcPr>
          <w:p w:rsidR="004276A0" w:rsidRPr="00BF0E9D" w:rsidRDefault="004276A0" w:rsidP="000334F1">
            <w:pPr>
              <w:pStyle w:val="NoSpacing"/>
            </w:pPr>
          </w:p>
        </w:tc>
        <w:tc>
          <w:tcPr>
            <w:tcW w:w="5153" w:type="dxa"/>
            <w:shd w:val="clear" w:color="auto" w:fill="FFFFFF"/>
          </w:tcPr>
          <w:p w:rsidR="004276A0" w:rsidRPr="00BF0E9D" w:rsidRDefault="004276A0" w:rsidP="000334F1">
            <w:pPr>
              <w:pStyle w:val="NoSpacing"/>
            </w:pPr>
          </w:p>
        </w:tc>
        <w:tc>
          <w:tcPr>
            <w:tcW w:w="1523" w:type="dxa"/>
            <w:shd w:val="clear" w:color="auto" w:fill="FFFFFF"/>
          </w:tcPr>
          <w:p w:rsidR="004276A0" w:rsidRPr="00BF0E9D" w:rsidRDefault="004276A0" w:rsidP="000334F1">
            <w:pPr>
              <w:pStyle w:val="NoSpacing"/>
              <w:rPr>
                <w:b/>
                <w:bCs/>
              </w:rPr>
            </w:pPr>
            <w:r w:rsidRPr="00BF0E9D">
              <w:rPr>
                <w:b/>
                <w:bCs/>
              </w:rPr>
              <w:t>Rs. In crs.</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1</w:t>
            </w:r>
          </w:p>
        </w:tc>
        <w:tc>
          <w:tcPr>
            <w:tcW w:w="5153" w:type="dxa"/>
            <w:shd w:val="clear" w:color="auto" w:fill="FFFFFF"/>
          </w:tcPr>
          <w:p w:rsidR="004276A0" w:rsidRPr="00BF0E9D" w:rsidRDefault="004276A0" w:rsidP="000334F1">
            <w:pPr>
              <w:pStyle w:val="NoSpacing"/>
            </w:pPr>
            <w:r w:rsidRPr="00BF0E9D">
              <w:t>World Bank</w:t>
            </w:r>
            <w:r w:rsidR="00331D79">
              <w:t xml:space="preserve"> Loan</w:t>
            </w:r>
          </w:p>
        </w:tc>
        <w:tc>
          <w:tcPr>
            <w:tcW w:w="1523" w:type="dxa"/>
            <w:shd w:val="clear" w:color="auto" w:fill="FFFFFF"/>
          </w:tcPr>
          <w:p w:rsidR="004276A0" w:rsidRPr="0012044D" w:rsidRDefault="00B2720F" w:rsidP="0012044D">
            <w:pPr>
              <w:pStyle w:val="NoSpacing"/>
              <w:jc w:val="center"/>
              <w:rPr>
                <w:bCs/>
              </w:rPr>
            </w:pPr>
            <w:r w:rsidRPr="0012044D">
              <w:rPr>
                <w:bCs/>
              </w:rPr>
              <w:t>11.8</w:t>
            </w:r>
            <w:r w:rsidR="00347747">
              <w:rPr>
                <w:bCs/>
              </w:rPr>
              <w:t>7</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2</w:t>
            </w:r>
          </w:p>
        </w:tc>
        <w:tc>
          <w:tcPr>
            <w:tcW w:w="5153" w:type="dxa"/>
            <w:shd w:val="clear" w:color="auto" w:fill="FFFFFF"/>
          </w:tcPr>
          <w:p w:rsidR="004276A0" w:rsidRPr="00BF0E9D" w:rsidRDefault="004276A0" w:rsidP="000334F1">
            <w:pPr>
              <w:pStyle w:val="NoSpacing"/>
            </w:pPr>
            <w:r w:rsidRPr="00BF0E9D">
              <w:t xml:space="preserve">GoO-APDRP </w:t>
            </w:r>
            <w:r w:rsidR="00331D79">
              <w:t xml:space="preserve"> Loan</w:t>
            </w:r>
          </w:p>
        </w:tc>
        <w:tc>
          <w:tcPr>
            <w:tcW w:w="1523" w:type="dxa"/>
            <w:shd w:val="clear" w:color="auto" w:fill="FFFFFF"/>
          </w:tcPr>
          <w:p w:rsidR="004276A0" w:rsidRPr="0012044D" w:rsidRDefault="00B2720F" w:rsidP="0012044D">
            <w:pPr>
              <w:pStyle w:val="NoSpacing"/>
              <w:jc w:val="center"/>
              <w:rPr>
                <w:bCs/>
              </w:rPr>
            </w:pPr>
            <w:r w:rsidRPr="0012044D">
              <w:rPr>
                <w:bCs/>
              </w:rPr>
              <w:t>0.</w:t>
            </w:r>
            <w:r w:rsidR="00347747">
              <w:rPr>
                <w:bCs/>
              </w:rPr>
              <w:t>76</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4</w:t>
            </w:r>
          </w:p>
        </w:tc>
        <w:tc>
          <w:tcPr>
            <w:tcW w:w="5153" w:type="dxa"/>
            <w:shd w:val="clear" w:color="auto" w:fill="FFFFFF"/>
          </w:tcPr>
          <w:p w:rsidR="004276A0" w:rsidRPr="00BF0E9D" w:rsidRDefault="004276A0" w:rsidP="000334F1">
            <w:pPr>
              <w:pStyle w:val="NoSpacing"/>
            </w:pPr>
            <w:r w:rsidRPr="00BF0E9D">
              <w:t>Interest on Security Deposit</w:t>
            </w:r>
          </w:p>
        </w:tc>
        <w:tc>
          <w:tcPr>
            <w:tcW w:w="1523" w:type="dxa"/>
            <w:shd w:val="clear" w:color="auto" w:fill="FFFFFF"/>
          </w:tcPr>
          <w:p w:rsidR="004276A0" w:rsidRPr="0012044D" w:rsidRDefault="000054A9" w:rsidP="000054A9">
            <w:pPr>
              <w:pStyle w:val="NoSpacing"/>
              <w:jc w:val="center"/>
              <w:rPr>
                <w:bCs/>
              </w:rPr>
            </w:pPr>
            <w:r>
              <w:rPr>
                <w:bCs/>
              </w:rPr>
              <w:t>3</w:t>
            </w:r>
            <w:r w:rsidR="00B85590">
              <w:rPr>
                <w:bCs/>
              </w:rPr>
              <w:t>9.10</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5</w:t>
            </w:r>
          </w:p>
        </w:tc>
        <w:tc>
          <w:tcPr>
            <w:tcW w:w="5153" w:type="dxa"/>
            <w:shd w:val="clear" w:color="auto" w:fill="FFFFFF"/>
          </w:tcPr>
          <w:p w:rsidR="004276A0" w:rsidRPr="00BF0E9D" w:rsidRDefault="004276A0" w:rsidP="000334F1">
            <w:pPr>
              <w:pStyle w:val="NoSpacing"/>
            </w:pPr>
            <w:r w:rsidRPr="00BF0E9D">
              <w:t>Govt. of Odisha Capex Loan</w:t>
            </w:r>
          </w:p>
        </w:tc>
        <w:tc>
          <w:tcPr>
            <w:tcW w:w="1523" w:type="dxa"/>
            <w:shd w:val="clear" w:color="auto" w:fill="FFFFFF"/>
          </w:tcPr>
          <w:p w:rsidR="004276A0" w:rsidRPr="0012044D" w:rsidRDefault="000054A9" w:rsidP="00BB4613">
            <w:pPr>
              <w:pStyle w:val="NoSpacing"/>
              <w:jc w:val="center"/>
              <w:rPr>
                <w:bCs/>
              </w:rPr>
            </w:pPr>
            <w:r>
              <w:rPr>
                <w:bCs/>
              </w:rPr>
              <w:t>1.73</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6</w:t>
            </w:r>
          </w:p>
        </w:tc>
        <w:tc>
          <w:tcPr>
            <w:tcW w:w="5153" w:type="dxa"/>
            <w:shd w:val="clear" w:color="auto" w:fill="FFFFFF"/>
          </w:tcPr>
          <w:p w:rsidR="004276A0" w:rsidRPr="00BF0E9D" w:rsidRDefault="004276A0" w:rsidP="000334F1">
            <w:pPr>
              <w:pStyle w:val="NoSpacing"/>
            </w:pPr>
            <w:r w:rsidRPr="00BF0E9D">
              <w:t>Ot</w:t>
            </w:r>
            <w:r w:rsidR="00331D79">
              <w:t>her Short term loan,</w:t>
            </w:r>
            <w:r w:rsidRPr="00BF0E9D">
              <w:t xml:space="preserve"> </w:t>
            </w:r>
            <w:r w:rsidR="00331D79">
              <w:t>SOD interest &amp;</w:t>
            </w:r>
            <w:r w:rsidRPr="00BF0E9D">
              <w:t>Finance charge</w:t>
            </w:r>
          </w:p>
        </w:tc>
        <w:tc>
          <w:tcPr>
            <w:tcW w:w="1523" w:type="dxa"/>
            <w:shd w:val="clear" w:color="auto" w:fill="FFFFFF"/>
          </w:tcPr>
          <w:p w:rsidR="004276A0" w:rsidRPr="0012044D" w:rsidRDefault="000054A9" w:rsidP="00B31C06">
            <w:pPr>
              <w:pStyle w:val="NoSpacing"/>
              <w:jc w:val="center"/>
              <w:rPr>
                <w:bCs/>
              </w:rPr>
            </w:pPr>
            <w:r>
              <w:rPr>
                <w:bCs/>
              </w:rPr>
              <w:t>2</w:t>
            </w:r>
            <w:r w:rsidR="00B85590">
              <w:rPr>
                <w:bCs/>
              </w:rPr>
              <w:t>9.77</w:t>
            </w:r>
          </w:p>
        </w:tc>
      </w:tr>
      <w:tr w:rsidR="004276A0" w:rsidRPr="00BF0E9D" w:rsidTr="00FB557B">
        <w:trPr>
          <w:trHeight w:val="269"/>
        </w:trPr>
        <w:tc>
          <w:tcPr>
            <w:tcW w:w="400" w:type="dxa"/>
            <w:shd w:val="clear" w:color="auto" w:fill="FFFFFF"/>
          </w:tcPr>
          <w:p w:rsidR="004276A0" w:rsidRPr="00BF0E9D" w:rsidRDefault="004276A0" w:rsidP="000334F1">
            <w:pPr>
              <w:pStyle w:val="NoSpacing"/>
            </w:pPr>
            <w:r w:rsidRPr="00BF0E9D">
              <w:t>7</w:t>
            </w:r>
          </w:p>
        </w:tc>
        <w:tc>
          <w:tcPr>
            <w:tcW w:w="5153" w:type="dxa"/>
            <w:shd w:val="clear" w:color="auto" w:fill="FFFFFF"/>
          </w:tcPr>
          <w:p w:rsidR="004276A0" w:rsidRPr="00BF0E9D" w:rsidRDefault="004276A0" w:rsidP="000334F1">
            <w:pPr>
              <w:pStyle w:val="NoSpacing"/>
              <w:rPr>
                <w:b/>
              </w:rPr>
            </w:pPr>
            <w:r w:rsidRPr="00BF0E9D">
              <w:rPr>
                <w:b/>
              </w:rPr>
              <w:t>Total Interest</w:t>
            </w:r>
            <w:r w:rsidR="00DB2420">
              <w:rPr>
                <w:b/>
              </w:rPr>
              <w:t xml:space="preserve"> for ARR</w:t>
            </w:r>
          </w:p>
        </w:tc>
        <w:tc>
          <w:tcPr>
            <w:tcW w:w="1523" w:type="dxa"/>
            <w:shd w:val="clear" w:color="auto" w:fill="FFFFFF"/>
          </w:tcPr>
          <w:p w:rsidR="004276A0" w:rsidRPr="0012044D" w:rsidRDefault="000054A9" w:rsidP="00DB2420">
            <w:pPr>
              <w:pStyle w:val="NoSpacing"/>
              <w:jc w:val="center"/>
              <w:rPr>
                <w:b/>
                <w:bCs/>
              </w:rPr>
            </w:pPr>
            <w:r>
              <w:rPr>
                <w:b/>
                <w:bCs/>
              </w:rPr>
              <w:t>8</w:t>
            </w:r>
            <w:r w:rsidR="00B85590">
              <w:rPr>
                <w:b/>
                <w:bCs/>
              </w:rPr>
              <w:t>3.23</w:t>
            </w:r>
          </w:p>
        </w:tc>
      </w:tr>
    </w:tbl>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 xml:space="preserve"> The total interest chargeable to revenue proposed by the </w:t>
      </w:r>
      <w:r w:rsidR="006C38E9">
        <w:rPr>
          <w:rFonts w:ascii="Cambria" w:hAnsi="Cambria" w:cs="Arial"/>
          <w:sz w:val="24"/>
          <w:szCs w:val="24"/>
        </w:rPr>
        <w:t>Utility</w:t>
      </w:r>
      <w:r w:rsidRPr="00BF0E9D">
        <w:rPr>
          <w:rFonts w:ascii="Cambria" w:hAnsi="Cambria" w:cs="Arial"/>
          <w:sz w:val="24"/>
          <w:szCs w:val="24"/>
        </w:rPr>
        <w:t xml:space="preserve"> for the year FY 20</w:t>
      </w:r>
      <w:r w:rsidR="00B85590">
        <w:rPr>
          <w:rFonts w:ascii="Cambria" w:hAnsi="Cambria" w:cs="Arial"/>
          <w:sz w:val="24"/>
          <w:szCs w:val="24"/>
        </w:rPr>
        <w:t>20-21</w:t>
      </w:r>
      <w:r w:rsidRPr="00BF0E9D">
        <w:rPr>
          <w:rFonts w:ascii="Cambria" w:hAnsi="Cambria" w:cs="Arial"/>
          <w:sz w:val="24"/>
          <w:szCs w:val="24"/>
        </w:rPr>
        <w:t xml:space="preserve"> is Rs </w:t>
      </w:r>
      <w:r w:rsidR="00B85590">
        <w:rPr>
          <w:rFonts w:ascii="Cambria" w:hAnsi="Cambria" w:cs="Arial"/>
          <w:sz w:val="24"/>
          <w:szCs w:val="24"/>
        </w:rPr>
        <w:t>83.23</w:t>
      </w:r>
      <w:r w:rsidR="00B2720F">
        <w:rPr>
          <w:rFonts w:ascii="Cambria" w:hAnsi="Cambria" w:cs="Arial"/>
          <w:sz w:val="24"/>
          <w:szCs w:val="24"/>
        </w:rPr>
        <w:t xml:space="preserve"> </w:t>
      </w:r>
      <w:r w:rsidRPr="00BF0E9D">
        <w:rPr>
          <w:rFonts w:ascii="Cambria" w:hAnsi="Cambria" w:cs="Arial"/>
          <w:sz w:val="24"/>
          <w:szCs w:val="24"/>
        </w:rPr>
        <w:t>crores.</w:t>
      </w:r>
    </w:p>
    <w:p w:rsidR="00B960B2" w:rsidRPr="004501C9" w:rsidRDefault="00B960B2" w:rsidP="006935E2">
      <w:pPr>
        <w:pStyle w:val="Heading1"/>
        <w:numPr>
          <w:ilvl w:val="0"/>
          <w:numId w:val="8"/>
        </w:numPr>
        <w:spacing w:line="360" w:lineRule="auto"/>
        <w:jc w:val="both"/>
        <w:rPr>
          <w:rFonts w:ascii="Book Antiqua" w:hAnsi="Book Antiqua"/>
          <w:smallCaps/>
          <w:color w:val="000000"/>
        </w:rPr>
      </w:pPr>
      <w:bookmarkStart w:id="22" w:name="_Toc490315052"/>
      <w:bookmarkStart w:id="23" w:name="_Toc278829409"/>
      <w:bookmarkStart w:id="24" w:name="_Toc25850926"/>
      <w:bookmarkEnd w:id="21"/>
      <w:r w:rsidRPr="004501C9">
        <w:rPr>
          <w:rFonts w:ascii="Book Antiqua" w:hAnsi="Book Antiqua"/>
          <w:smallCaps/>
          <w:color w:val="000000"/>
        </w:rPr>
        <w:t>Capital Expenditure Programme</w:t>
      </w:r>
      <w:bookmarkEnd w:id="22"/>
      <w:bookmarkEnd w:id="24"/>
    </w:p>
    <w:p w:rsidR="00B960B2" w:rsidRPr="0043471C" w:rsidRDefault="00B960B2" w:rsidP="00B960B2">
      <w:pPr>
        <w:ind w:left="450" w:hanging="432"/>
        <w:rPr>
          <w:rFonts w:ascii="Book Antiqua" w:hAnsi="Book Antiqua" w:cs="Arial"/>
          <w:color w:val="000000"/>
        </w:rPr>
      </w:pPr>
    </w:p>
    <w:p w:rsidR="00D715EA" w:rsidRPr="009C5082" w:rsidRDefault="00D715EA" w:rsidP="006935E2">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bookmarkStart w:id="25" w:name="_Toc25850927"/>
      <w:r w:rsidRPr="009C5082">
        <w:rPr>
          <w:rFonts w:asciiTheme="minorHAnsi" w:hAnsiTheme="minorHAnsi"/>
          <w:smallCaps/>
          <w:color w:val="000000"/>
          <w:sz w:val="22"/>
          <w:szCs w:val="22"/>
        </w:rPr>
        <w:t>Deen Dayal Upadhyaya Gramya Jyoti Yojana (RAJIV GANDHI GRAMINA VIDYUTKARANA YOJANA (RGGVY- 12th Plan))</w:t>
      </w:r>
      <w:bookmarkEnd w:id="25"/>
    </w:p>
    <w:p w:rsidR="00B960B2" w:rsidRPr="003D69D3" w:rsidRDefault="00B960B2" w:rsidP="00B960B2">
      <w:pPr>
        <w:rPr>
          <w:rFonts w:asciiTheme="minorHAnsi" w:hAnsiTheme="minorHAnsi" w:cs="Arial"/>
          <w:color w:val="000000"/>
          <w:sz w:val="22"/>
          <w:szCs w:val="22"/>
        </w:rPr>
      </w:pPr>
    </w:p>
    <w:bookmarkEnd w:id="23"/>
    <w:p w:rsidR="000351CA" w:rsidRPr="000351CA" w:rsidRDefault="000351CA" w:rsidP="000351CA">
      <w:pPr>
        <w:pStyle w:val="ListParagraph"/>
        <w:spacing w:line="360" w:lineRule="auto"/>
        <w:ind w:left="360"/>
        <w:jc w:val="both"/>
        <w:rPr>
          <w:rFonts w:ascii="Cambria" w:hAnsi="Cambria" w:cs="Calibri"/>
          <w:color w:val="232323"/>
          <w:sz w:val="24"/>
          <w:szCs w:val="24"/>
        </w:rPr>
      </w:pPr>
      <w:r w:rsidRPr="000351CA">
        <w:rPr>
          <w:rFonts w:ascii="Cambria" w:hAnsi="Cambria" w:cs="Calibri"/>
          <w:color w:val="232323"/>
          <w:sz w:val="24"/>
          <w:szCs w:val="24"/>
        </w:rPr>
        <w:t>All the un-electrified &amp; partially electrified villages having population 100 &amp; above are decided to cover under this scheme. REC is the nodal agency &amp; PGCIL/NTPC are the executing Agency for the aforesaid scheme. The scope of work &amp; the progress of the scheme as on 30th Sept’2019 is as follows:-</w:t>
      </w:r>
    </w:p>
    <w:tbl>
      <w:tblPr>
        <w:tblW w:w="10160" w:type="dxa"/>
        <w:tblInd w:w="93" w:type="dxa"/>
        <w:tblLook w:val="04A0"/>
      </w:tblPr>
      <w:tblGrid>
        <w:gridCol w:w="1980"/>
        <w:gridCol w:w="1980"/>
        <w:gridCol w:w="1240"/>
        <w:gridCol w:w="1240"/>
        <w:gridCol w:w="1240"/>
        <w:gridCol w:w="1240"/>
        <w:gridCol w:w="1240"/>
      </w:tblGrid>
      <w:tr w:rsidR="000351CA" w:rsidRPr="000351CA" w:rsidTr="004E3A11">
        <w:trPr>
          <w:trHeight w:val="480"/>
        </w:trPr>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District</w:t>
            </w:r>
          </w:p>
        </w:tc>
        <w:tc>
          <w:tcPr>
            <w:tcW w:w="19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Sanctioned cost(Rs. In Cr)</w:t>
            </w:r>
          </w:p>
        </w:tc>
        <w:tc>
          <w:tcPr>
            <w:tcW w:w="2480" w:type="dxa"/>
            <w:gridSpan w:val="2"/>
            <w:tcBorders>
              <w:top w:val="single" w:sz="4" w:space="0" w:color="auto"/>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Doable Scope</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Completed &amp; Charged</w:t>
            </w:r>
          </w:p>
        </w:tc>
      </w:tr>
      <w:tr w:rsidR="000351CA" w:rsidRPr="000351CA" w:rsidTr="004E3A11">
        <w:trPr>
          <w:trHeight w:val="480"/>
        </w:trPr>
        <w:tc>
          <w:tcPr>
            <w:tcW w:w="1980" w:type="dxa"/>
            <w:vMerge/>
            <w:tcBorders>
              <w:top w:val="single" w:sz="4" w:space="0" w:color="auto"/>
              <w:left w:val="single" w:sz="4" w:space="0" w:color="auto"/>
              <w:bottom w:val="single" w:sz="4" w:space="0" w:color="auto"/>
              <w:right w:val="single" w:sz="4" w:space="0" w:color="auto"/>
            </w:tcBorders>
            <w:vAlign w:val="center"/>
            <w:hideMark/>
          </w:tcPr>
          <w:p w:rsidR="000351CA" w:rsidRPr="000351CA" w:rsidRDefault="000351CA" w:rsidP="004E3A11">
            <w:pPr>
              <w:rPr>
                <w:b/>
                <w:bCs/>
                <w:color w:val="000000"/>
              </w:rPr>
            </w:pPr>
          </w:p>
        </w:tc>
        <w:tc>
          <w:tcPr>
            <w:tcW w:w="1980" w:type="dxa"/>
            <w:vMerge/>
            <w:tcBorders>
              <w:top w:val="single" w:sz="4" w:space="0" w:color="auto"/>
              <w:left w:val="single" w:sz="4" w:space="0" w:color="auto"/>
              <w:bottom w:val="single" w:sz="4" w:space="0" w:color="000000"/>
              <w:right w:val="single" w:sz="4" w:space="0" w:color="auto"/>
            </w:tcBorders>
            <w:vAlign w:val="center"/>
            <w:hideMark/>
          </w:tcPr>
          <w:p w:rsidR="000351CA" w:rsidRPr="000351CA" w:rsidRDefault="000351CA" w:rsidP="004E3A11">
            <w:pPr>
              <w:rPr>
                <w:b/>
                <w:bCs/>
                <w:color w:val="000000"/>
              </w:rPr>
            </w:pP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 xml:space="preserve">UE </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 xml:space="preserve">PE </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 xml:space="preserve">UE </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 xml:space="preserve">PE </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BPL</w:t>
            </w:r>
          </w:p>
        </w:tc>
      </w:tr>
      <w:tr w:rsidR="000351CA" w:rsidRPr="000351CA" w:rsidTr="004E3A11">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Balasore</w:t>
            </w:r>
          </w:p>
        </w:tc>
        <w:tc>
          <w:tcPr>
            <w:tcW w:w="198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44.79</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pPr>
            <w:r w:rsidRPr="000351CA">
              <w:t>1</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pPr>
            <w:r w:rsidRPr="000351CA">
              <w:t>502</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pPr>
            <w:r w:rsidRPr="000351CA">
              <w:t>1</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pPr>
            <w:r w:rsidRPr="000351CA">
              <w:t>503</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pPr>
            <w:r w:rsidRPr="000351CA">
              <w:t>8550</w:t>
            </w:r>
          </w:p>
        </w:tc>
      </w:tr>
      <w:tr w:rsidR="000351CA" w:rsidRPr="000351CA" w:rsidTr="004E3A11">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Bhadrak</w:t>
            </w:r>
          </w:p>
        </w:tc>
        <w:tc>
          <w:tcPr>
            <w:tcW w:w="198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89.95</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pPr>
            <w:r w:rsidRPr="000351CA">
              <w:t>0</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pPr>
            <w:r w:rsidRPr="000351CA">
              <w:t>671</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pPr>
            <w:r w:rsidRPr="000351CA">
              <w:t>0</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pPr>
            <w:r w:rsidRPr="000351CA">
              <w:t>655</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pPr>
            <w:r w:rsidRPr="000351CA">
              <w:t>14201</w:t>
            </w:r>
          </w:p>
        </w:tc>
      </w:tr>
      <w:tr w:rsidR="000351CA" w:rsidRPr="000351CA" w:rsidTr="004E3A11">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 xml:space="preserve"> Jajpur</w:t>
            </w:r>
          </w:p>
        </w:tc>
        <w:tc>
          <w:tcPr>
            <w:tcW w:w="198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20.92</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pPr>
            <w:r w:rsidRPr="000351CA">
              <w:t>2</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pPr>
            <w:r w:rsidRPr="000351CA">
              <w:t>582</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pPr>
            <w:r w:rsidRPr="000351CA">
              <w:t>2</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pPr>
            <w:r w:rsidRPr="000351CA">
              <w:t>533</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pPr>
            <w:r w:rsidRPr="000351CA">
              <w:t>2800</w:t>
            </w:r>
          </w:p>
        </w:tc>
      </w:tr>
      <w:tr w:rsidR="000351CA" w:rsidRPr="000351CA" w:rsidTr="004E3A11">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 xml:space="preserve"> Mayurbhanj</w:t>
            </w:r>
          </w:p>
        </w:tc>
        <w:tc>
          <w:tcPr>
            <w:tcW w:w="198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376.03</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pPr>
            <w:r w:rsidRPr="000351CA">
              <w:t>27</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pPr>
            <w:r w:rsidRPr="000351CA">
              <w:t>2757</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pPr>
            <w:r w:rsidRPr="000351CA">
              <w:t>27</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pPr>
            <w:r w:rsidRPr="000351CA">
              <w:t>2691</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pPr>
            <w:r w:rsidRPr="000351CA">
              <w:t>29147</w:t>
            </w:r>
          </w:p>
        </w:tc>
      </w:tr>
      <w:tr w:rsidR="000351CA" w:rsidRPr="000351CA" w:rsidTr="004E3A11">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Keonjhar</w:t>
            </w:r>
          </w:p>
        </w:tc>
        <w:tc>
          <w:tcPr>
            <w:tcW w:w="198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170.4</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pPr>
            <w:r w:rsidRPr="000351CA">
              <w:t>36</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pPr>
            <w:r w:rsidRPr="000351CA">
              <w:t>1978</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pPr>
            <w:r w:rsidRPr="000351CA">
              <w:t>36</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pPr>
            <w:r w:rsidRPr="000351CA">
              <w:t>1560</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pPr>
            <w:r w:rsidRPr="000351CA">
              <w:t>45352</w:t>
            </w:r>
          </w:p>
        </w:tc>
      </w:tr>
      <w:tr w:rsidR="000351CA" w:rsidRPr="000351CA" w:rsidTr="004E3A11">
        <w:trPr>
          <w:trHeight w:val="480"/>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Total</w:t>
            </w:r>
          </w:p>
        </w:tc>
        <w:tc>
          <w:tcPr>
            <w:tcW w:w="198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702.09</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66</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6490</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66</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5942</w:t>
            </w:r>
          </w:p>
        </w:tc>
        <w:tc>
          <w:tcPr>
            <w:tcW w:w="124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100050</w:t>
            </w:r>
          </w:p>
        </w:tc>
      </w:tr>
    </w:tbl>
    <w:p w:rsidR="000351CA" w:rsidRDefault="000351CA" w:rsidP="000351CA">
      <w:pPr>
        <w:spacing w:after="150"/>
        <w:ind w:left="426"/>
        <w:jc w:val="both"/>
        <w:outlineLvl w:val="0"/>
        <w:rPr>
          <w:rFonts w:cs="Arial"/>
          <w:bCs/>
          <w:color w:val="040404"/>
          <w:kern w:val="36"/>
        </w:rPr>
      </w:pPr>
    </w:p>
    <w:p w:rsidR="000351CA" w:rsidRPr="000351CA" w:rsidRDefault="000351CA" w:rsidP="000351CA">
      <w:pPr>
        <w:spacing w:after="150"/>
        <w:ind w:left="426"/>
        <w:jc w:val="both"/>
        <w:outlineLvl w:val="0"/>
        <w:rPr>
          <w:rFonts w:asciiTheme="majorHAnsi" w:hAnsiTheme="majorHAnsi" w:cs="Arial"/>
          <w:bCs/>
          <w:color w:val="040404"/>
          <w:kern w:val="36"/>
        </w:rPr>
      </w:pPr>
      <w:r w:rsidRPr="000351CA">
        <w:rPr>
          <w:rFonts w:asciiTheme="majorHAnsi" w:hAnsiTheme="majorHAnsi" w:cs="Arial"/>
          <w:bCs/>
          <w:color w:val="040404"/>
          <w:kern w:val="36"/>
        </w:rPr>
        <w:t xml:space="preserve"> </w:t>
      </w:r>
      <w:bookmarkStart w:id="26" w:name="_Toc25767835"/>
      <w:bookmarkStart w:id="27" w:name="_Toc25850928"/>
      <w:r w:rsidRPr="000351CA">
        <w:rPr>
          <w:rFonts w:asciiTheme="majorHAnsi" w:hAnsiTheme="majorHAnsi" w:cs="Arial"/>
          <w:bCs/>
          <w:color w:val="040404"/>
          <w:kern w:val="36"/>
        </w:rPr>
        <w:t>The balance villages are proposed to be electrified by Dec’2019.</w:t>
      </w:r>
      <w:bookmarkEnd w:id="26"/>
      <w:bookmarkEnd w:id="27"/>
    </w:p>
    <w:p w:rsidR="000351CA" w:rsidRPr="000351CA" w:rsidRDefault="000351CA" w:rsidP="000351CA">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r w:rsidRPr="000351CA">
        <w:rPr>
          <w:rFonts w:asciiTheme="minorHAnsi" w:hAnsiTheme="minorHAnsi"/>
          <w:smallCaps/>
          <w:color w:val="000000"/>
          <w:sz w:val="22"/>
          <w:szCs w:val="22"/>
        </w:rPr>
        <w:lastRenderedPageBreak/>
        <w:t xml:space="preserve">  </w:t>
      </w:r>
      <w:bookmarkStart w:id="28" w:name="_Toc25850929"/>
      <w:r w:rsidRPr="000351CA">
        <w:rPr>
          <w:rFonts w:asciiTheme="minorHAnsi" w:hAnsiTheme="minorHAnsi"/>
          <w:smallCaps/>
          <w:color w:val="000000"/>
          <w:sz w:val="22"/>
          <w:szCs w:val="22"/>
        </w:rPr>
        <w:t>Deen Dayal Upadhyaya Gramya Jyoti Yojana (DDUGJY)</w:t>
      </w:r>
      <w:bookmarkEnd w:id="28"/>
    </w:p>
    <w:p w:rsidR="000351CA" w:rsidRDefault="000351CA" w:rsidP="000351CA">
      <w:pPr>
        <w:spacing w:after="150"/>
        <w:jc w:val="both"/>
        <w:outlineLvl w:val="0"/>
        <w:rPr>
          <w:rFonts w:cs="Arial"/>
          <w:color w:val="040404"/>
          <w:kern w:val="36"/>
        </w:rPr>
      </w:pPr>
    </w:p>
    <w:p w:rsidR="000351CA" w:rsidRPr="000351CA" w:rsidRDefault="000351CA" w:rsidP="000351CA">
      <w:pPr>
        <w:pStyle w:val="ListParagraph"/>
        <w:spacing w:line="360" w:lineRule="auto"/>
        <w:ind w:left="360"/>
        <w:jc w:val="both"/>
        <w:rPr>
          <w:rFonts w:ascii="Cambria" w:hAnsi="Cambria" w:cs="Calibri"/>
          <w:color w:val="232323"/>
          <w:sz w:val="24"/>
          <w:szCs w:val="24"/>
        </w:rPr>
      </w:pPr>
      <w:r w:rsidRPr="000351CA">
        <w:rPr>
          <w:rFonts w:ascii="Cambria" w:hAnsi="Cambria" w:cs="Calibri"/>
          <w:color w:val="232323"/>
          <w:sz w:val="24"/>
          <w:szCs w:val="24"/>
        </w:rPr>
        <w:t xml:space="preserve">The villages/ Habitations which are left out from RGGVY-12th plan &amp; BGJY schemes are to be identified for electrification under this scheme along with other system strengthening work i.e. new /upgradation of both 33KV /11KV line, renovation of 33/11KV line, Separate dedicated feeder to Block Head quarter with HVDS system, replacement/ Renovation  of bare LT  line with AB cable, Upgradation of single phase transformer to  3-Ph , etc. under this scheme. </w:t>
      </w:r>
    </w:p>
    <w:p w:rsidR="000351CA" w:rsidRPr="000351CA" w:rsidRDefault="000351CA" w:rsidP="000351CA">
      <w:pPr>
        <w:pStyle w:val="ListParagraph"/>
        <w:numPr>
          <w:ilvl w:val="0"/>
          <w:numId w:val="19"/>
        </w:numPr>
        <w:spacing w:after="150"/>
        <w:jc w:val="both"/>
        <w:outlineLvl w:val="0"/>
        <w:rPr>
          <w:rFonts w:asciiTheme="majorHAnsi" w:eastAsia="Times New Roman" w:hAnsiTheme="majorHAnsi" w:cs="Arial"/>
          <w:color w:val="040404"/>
          <w:kern w:val="36"/>
          <w:sz w:val="24"/>
          <w:szCs w:val="24"/>
        </w:rPr>
      </w:pPr>
      <w:bookmarkStart w:id="29" w:name="_Toc25767837"/>
      <w:bookmarkStart w:id="30" w:name="_Toc25850930"/>
      <w:r w:rsidRPr="000351CA">
        <w:rPr>
          <w:rFonts w:asciiTheme="majorHAnsi" w:eastAsia="Times New Roman" w:hAnsiTheme="majorHAnsi" w:cs="Arial"/>
          <w:color w:val="040404"/>
          <w:kern w:val="36"/>
          <w:sz w:val="24"/>
          <w:szCs w:val="24"/>
        </w:rPr>
        <w:t>Executing agency –OPTCL</w:t>
      </w:r>
      <w:bookmarkEnd w:id="29"/>
      <w:bookmarkEnd w:id="30"/>
    </w:p>
    <w:p w:rsidR="000351CA" w:rsidRPr="000351CA" w:rsidRDefault="000351CA" w:rsidP="000351CA">
      <w:pPr>
        <w:pStyle w:val="ListParagraph"/>
        <w:numPr>
          <w:ilvl w:val="0"/>
          <w:numId w:val="19"/>
        </w:numPr>
        <w:spacing w:after="150"/>
        <w:jc w:val="both"/>
        <w:outlineLvl w:val="0"/>
        <w:rPr>
          <w:rFonts w:asciiTheme="majorHAnsi" w:eastAsia="Times New Roman" w:hAnsiTheme="majorHAnsi" w:cs="Arial"/>
          <w:color w:val="040404"/>
          <w:kern w:val="36"/>
          <w:sz w:val="24"/>
          <w:szCs w:val="24"/>
        </w:rPr>
      </w:pPr>
      <w:bookmarkStart w:id="31" w:name="_Toc25767838"/>
      <w:bookmarkStart w:id="32" w:name="_Toc25850931"/>
      <w:r w:rsidRPr="000351CA">
        <w:rPr>
          <w:rFonts w:asciiTheme="majorHAnsi" w:eastAsia="Times New Roman" w:hAnsiTheme="majorHAnsi" w:cs="Arial"/>
          <w:color w:val="040404"/>
          <w:kern w:val="36"/>
          <w:sz w:val="24"/>
          <w:szCs w:val="24"/>
        </w:rPr>
        <w:t>Project Monitoring Agency (PMA)- NPTI (Feedback Infra)</w:t>
      </w:r>
      <w:bookmarkEnd w:id="31"/>
      <w:bookmarkEnd w:id="32"/>
    </w:p>
    <w:p w:rsidR="000351CA" w:rsidRPr="000351CA" w:rsidRDefault="000351CA" w:rsidP="000351CA">
      <w:pPr>
        <w:pStyle w:val="ListParagraph"/>
        <w:numPr>
          <w:ilvl w:val="0"/>
          <w:numId w:val="19"/>
        </w:numPr>
        <w:spacing w:after="150"/>
        <w:jc w:val="both"/>
        <w:outlineLvl w:val="0"/>
        <w:rPr>
          <w:rFonts w:asciiTheme="majorHAnsi" w:eastAsia="Times New Roman" w:hAnsiTheme="majorHAnsi" w:cs="Arial"/>
          <w:color w:val="040404"/>
          <w:kern w:val="36"/>
          <w:sz w:val="24"/>
          <w:szCs w:val="24"/>
        </w:rPr>
      </w:pPr>
      <w:bookmarkStart w:id="33" w:name="_Toc25767839"/>
      <w:bookmarkStart w:id="34" w:name="_Toc25850932"/>
      <w:r w:rsidRPr="000351CA">
        <w:rPr>
          <w:rFonts w:asciiTheme="majorHAnsi" w:eastAsia="Times New Roman" w:hAnsiTheme="majorHAnsi" w:cs="Arial"/>
          <w:color w:val="040404"/>
          <w:kern w:val="36"/>
          <w:sz w:val="24"/>
          <w:szCs w:val="24"/>
        </w:rPr>
        <w:t>EPC Contractor- M/S Vindhya Telelinks Ltd</w:t>
      </w:r>
      <w:bookmarkEnd w:id="33"/>
      <w:bookmarkEnd w:id="34"/>
    </w:p>
    <w:p w:rsidR="000351CA" w:rsidRPr="000351CA" w:rsidRDefault="000351CA" w:rsidP="000351CA">
      <w:pPr>
        <w:spacing w:after="150"/>
        <w:ind w:firstLine="720"/>
        <w:jc w:val="both"/>
        <w:outlineLvl w:val="0"/>
        <w:rPr>
          <w:rFonts w:asciiTheme="majorHAnsi" w:hAnsiTheme="majorHAnsi" w:cs="Arial"/>
          <w:color w:val="040404"/>
          <w:kern w:val="36"/>
        </w:rPr>
      </w:pPr>
      <w:bookmarkStart w:id="35" w:name="_Toc25767840"/>
      <w:bookmarkStart w:id="36" w:name="_Toc25850933"/>
      <w:r w:rsidRPr="000351CA">
        <w:rPr>
          <w:rFonts w:asciiTheme="majorHAnsi" w:hAnsiTheme="majorHAnsi" w:cs="Arial"/>
          <w:color w:val="040404"/>
          <w:kern w:val="36"/>
        </w:rPr>
        <w:t>The details of the scheme &amp; progress of the work is as follows:-</w:t>
      </w:r>
      <w:bookmarkEnd w:id="35"/>
      <w:bookmarkEnd w:id="36"/>
    </w:p>
    <w:tbl>
      <w:tblPr>
        <w:tblW w:w="10221" w:type="dxa"/>
        <w:tblInd w:w="93" w:type="dxa"/>
        <w:tblLook w:val="04A0"/>
      </w:tblPr>
      <w:tblGrid>
        <w:gridCol w:w="1390"/>
        <w:gridCol w:w="1350"/>
        <w:gridCol w:w="2096"/>
        <w:gridCol w:w="1243"/>
        <w:gridCol w:w="4142"/>
      </w:tblGrid>
      <w:tr w:rsidR="000351CA" w:rsidRPr="000351CA" w:rsidTr="004E3A11">
        <w:trPr>
          <w:trHeight w:val="885"/>
        </w:trPr>
        <w:tc>
          <w:tcPr>
            <w:tcW w:w="130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District</w:t>
            </w:r>
          </w:p>
        </w:tc>
        <w:tc>
          <w:tcPr>
            <w:tcW w:w="12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Sanctioned Cost (Rs. In Cr)</w:t>
            </w:r>
          </w:p>
        </w:tc>
        <w:tc>
          <w:tcPr>
            <w:tcW w:w="106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LOA Cost (Rs. In Cr)</w:t>
            </w:r>
          </w:p>
        </w:tc>
        <w:tc>
          <w:tcPr>
            <w:tcW w:w="113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Revised Allotment Cost Excl. Metering  (Rs. In Cr)</w:t>
            </w:r>
          </w:p>
        </w:tc>
        <w:tc>
          <w:tcPr>
            <w:tcW w:w="548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Work Progress</w:t>
            </w:r>
          </w:p>
        </w:tc>
      </w:tr>
      <w:tr w:rsidR="000351CA" w:rsidRPr="000351CA" w:rsidTr="004E3A11">
        <w:trPr>
          <w:trHeight w:val="509"/>
        </w:trPr>
        <w:tc>
          <w:tcPr>
            <w:tcW w:w="1307" w:type="dxa"/>
            <w:vMerge/>
            <w:tcBorders>
              <w:top w:val="single" w:sz="8" w:space="0" w:color="auto"/>
              <w:left w:val="single" w:sz="8" w:space="0" w:color="auto"/>
              <w:bottom w:val="single" w:sz="8" w:space="0" w:color="000000"/>
              <w:right w:val="single" w:sz="8" w:space="0" w:color="auto"/>
            </w:tcBorders>
            <w:vAlign w:val="center"/>
            <w:hideMark/>
          </w:tcPr>
          <w:p w:rsidR="000351CA" w:rsidRPr="000351CA" w:rsidRDefault="000351CA" w:rsidP="004E3A11">
            <w:pPr>
              <w:rPr>
                <w:color w:val="000000"/>
              </w:rPr>
            </w:pPr>
          </w:p>
        </w:tc>
        <w:tc>
          <w:tcPr>
            <w:tcW w:w="1235" w:type="dxa"/>
            <w:vMerge/>
            <w:tcBorders>
              <w:top w:val="single" w:sz="8" w:space="0" w:color="auto"/>
              <w:left w:val="single" w:sz="8" w:space="0" w:color="auto"/>
              <w:bottom w:val="single" w:sz="8" w:space="0" w:color="000000"/>
              <w:right w:val="single" w:sz="8" w:space="0" w:color="auto"/>
            </w:tcBorders>
            <w:vAlign w:val="center"/>
            <w:hideMark/>
          </w:tcPr>
          <w:p w:rsidR="000351CA" w:rsidRPr="000351CA" w:rsidRDefault="000351CA" w:rsidP="004E3A11">
            <w:pPr>
              <w:rPr>
                <w:color w:val="000000"/>
              </w:rPr>
            </w:pPr>
          </w:p>
        </w:tc>
        <w:tc>
          <w:tcPr>
            <w:tcW w:w="1061" w:type="dxa"/>
            <w:vMerge/>
            <w:tcBorders>
              <w:top w:val="single" w:sz="8" w:space="0" w:color="auto"/>
              <w:left w:val="single" w:sz="8" w:space="0" w:color="auto"/>
              <w:bottom w:val="single" w:sz="8" w:space="0" w:color="000000"/>
              <w:right w:val="single" w:sz="8" w:space="0" w:color="auto"/>
            </w:tcBorders>
            <w:vAlign w:val="center"/>
            <w:hideMark/>
          </w:tcPr>
          <w:p w:rsidR="000351CA" w:rsidRPr="000351CA" w:rsidRDefault="000351CA" w:rsidP="004E3A11">
            <w:pPr>
              <w:rPr>
                <w:color w:val="000000"/>
              </w:rPr>
            </w:pPr>
          </w:p>
        </w:tc>
        <w:tc>
          <w:tcPr>
            <w:tcW w:w="1136" w:type="dxa"/>
            <w:vMerge/>
            <w:tcBorders>
              <w:top w:val="single" w:sz="8" w:space="0" w:color="auto"/>
              <w:left w:val="single" w:sz="8" w:space="0" w:color="auto"/>
              <w:bottom w:val="single" w:sz="8" w:space="0" w:color="000000"/>
              <w:right w:val="single" w:sz="8" w:space="0" w:color="auto"/>
            </w:tcBorders>
            <w:vAlign w:val="center"/>
            <w:hideMark/>
          </w:tcPr>
          <w:p w:rsidR="000351CA" w:rsidRPr="000351CA" w:rsidRDefault="000351CA" w:rsidP="004E3A11">
            <w:pPr>
              <w:rPr>
                <w:color w:val="000000"/>
              </w:rPr>
            </w:pPr>
          </w:p>
        </w:tc>
        <w:tc>
          <w:tcPr>
            <w:tcW w:w="5482" w:type="dxa"/>
            <w:vMerge/>
            <w:tcBorders>
              <w:top w:val="single" w:sz="8" w:space="0" w:color="auto"/>
              <w:left w:val="single" w:sz="8" w:space="0" w:color="auto"/>
              <w:bottom w:val="single" w:sz="8" w:space="0" w:color="000000"/>
              <w:right w:val="single" w:sz="8" w:space="0" w:color="auto"/>
            </w:tcBorders>
            <w:vAlign w:val="center"/>
            <w:hideMark/>
          </w:tcPr>
          <w:p w:rsidR="000351CA" w:rsidRPr="000351CA" w:rsidRDefault="000351CA" w:rsidP="004E3A11">
            <w:pPr>
              <w:rPr>
                <w:color w:val="000000"/>
              </w:rPr>
            </w:pPr>
          </w:p>
        </w:tc>
      </w:tr>
      <w:tr w:rsidR="000351CA" w:rsidRPr="000351CA" w:rsidTr="004E3A11">
        <w:trPr>
          <w:trHeight w:val="499"/>
        </w:trPr>
        <w:tc>
          <w:tcPr>
            <w:tcW w:w="1307" w:type="dxa"/>
            <w:tcBorders>
              <w:top w:val="nil"/>
              <w:left w:val="single" w:sz="8" w:space="0" w:color="auto"/>
              <w:bottom w:val="single" w:sz="8" w:space="0" w:color="auto"/>
              <w:right w:val="single" w:sz="8" w:space="0" w:color="auto"/>
            </w:tcBorders>
            <w:shd w:val="clear" w:color="auto" w:fill="auto"/>
            <w:vAlign w:val="center"/>
            <w:hideMark/>
          </w:tcPr>
          <w:p w:rsidR="000351CA" w:rsidRPr="000351CA" w:rsidRDefault="000351CA" w:rsidP="004E3A11">
            <w:pPr>
              <w:jc w:val="center"/>
              <w:rPr>
                <w:color w:val="000000"/>
              </w:rPr>
            </w:pPr>
            <w:r w:rsidRPr="000351CA">
              <w:rPr>
                <w:color w:val="000000"/>
              </w:rPr>
              <w:t>Balasore</w:t>
            </w:r>
          </w:p>
        </w:tc>
        <w:tc>
          <w:tcPr>
            <w:tcW w:w="1235" w:type="dxa"/>
            <w:vMerge w:val="restart"/>
            <w:tcBorders>
              <w:top w:val="nil"/>
              <w:left w:val="single" w:sz="8" w:space="0" w:color="auto"/>
              <w:bottom w:val="single" w:sz="8" w:space="0" w:color="000000"/>
              <w:right w:val="single" w:sz="8" w:space="0" w:color="auto"/>
            </w:tcBorders>
            <w:shd w:val="clear" w:color="auto" w:fill="auto"/>
            <w:vAlign w:val="center"/>
            <w:hideMark/>
          </w:tcPr>
          <w:p w:rsidR="000351CA" w:rsidRPr="000351CA" w:rsidRDefault="000351CA" w:rsidP="004E3A11">
            <w:pPr>
              <w:jc w:val="center"/>
              <w:rPr>
                <w:color w:val="000000"/>
              </w:rPr>
            </w:pPr>
            <w:r w:rsidRPr="000351CA">
              <w:rPr>
                <w:color w:val="000000"/>
              </w:rPr>
              <w:t>470.15 (including metering cost)</w:t>
            </w:r>
          </w:p>
        </w:tc>
        <w:tc>
          <w:tcPr>
            <w:tcW w:w="1061" w:type="dxa"/>
            <w:vMerge w:val="restart"/>
            <w:tcBorders>
              <w:top w:val="nil"/>
              <w:left w:val="single" w:sz="8" w:space="0" w:color="auto"/>
              <w:bottom w:val="single" w:sz="8" w:space="0" w:color="000000"/>
              <w:right w:val="single" w:sz="8" w:space="0" w:color="auto"/>
            </w:tcBorders>
            <w:shd w:val="clear" w:color="auto" w:fill="auto"/>
            <w:vAlign w:val="center"/>
            <w:hideMark/>
          </w:tcPr>
          <w:p w:rsidR="000351CA" w:rsidRPr="000351CA" w:rsidRDefault="000351CA" w:rsidP="004E3A11">
            <w:pPr>
              <w:jc w:val="center"/>
              <w:rPr>
                <w:color w:val="000000"/>
              </w:rPr>
            </w:pPr>
            <w:r w:rsidRPr="000351CA">
              <w:rPr>
                <w:color w:val="000000"/>
              </w:rPr>
              <w:t>447.18Cr(362.95Cr for DDUGJY &amp; 84.23Cr for Metering)</w:t>
            </w:r>
          </w:p>
        </w:tc>
        <w:tc>
          <w:tcPr>
            <w:tcW w:w="1136" w:type="dxa"/>
            <w:tcBorders>
              <w:top w:val="nil"/>
              <w:left w:val="nil"/>
              <w:bottom w:val="single" w:sz="8" w:space="0" w:color="auto"/>
              <w:right w:val="single" w:sz="8" w:space="0" w:color="auto"/>
            </w:tcBorders>
            <w:shd w:val="clear" w:color="auto" w:fill="auto"/>
            <w:vAlign w:val="center"/>
            <w:hideMark/>
          </w:tcPr>
          <w:p w:rsidR="000351CA" w:rsidRPr="000351CA" w:rsidRDefault="000351CA" w:rsidP="004E3A11">
            <w:pPr>
              <w:jc w:val="center"/>
              <w:rPr>
                <w:color w:val="000000"/>
              </w:rPr>
            </w:pPr>
            <w:r w:rsidRPr="000351CA">
              <w:rPr>
                <w:color w:val="000000"/>
              </w:rPr>
              <w:t>190.15</w:t>
            </w:r>
          </w:p>
        </w:tc>
        <w:tc>
          <w:tcPr>
            <w:tcW w:w="5482" w:type="dxa"/>
            <w:vMerge w:val="restart"/>
            <w:tcBorders>
              <w:top w:val="nil"/>
              <w:left w:val="single" w:sz="8" w:space="0" w:color="auto"/>
              <w:bottom w:val="single" w:sz="8" w:space="0" w:color="000000"/>
              <w:right w:val="single" w:sz="8" w:space="0" w:color="auto"/>
            </w:tcBorders>
            <w:shd w:val="clear" w:color="auto" w:fill="auto"/>
            <w:vAlign w:val="center"/>
            <w:hideMark/>
          </w:tcPr>
          <w:p w:rsidR="000351CA" w:rsidRPr="000351CA" w:rsidRDefault="000351CA" w:rsidP="004E3A11">
            <w:pPr>
              <w:jc w:val="center"/>
              <w:rPr>
                <w:color w:val="000000"/>
              </w:rPr>
            </w:pPr>
            <w:r w:rsidRPr="000351CA">
              <w:rPr>
                <w:color w:val="000000"/>
              </w:rPr>
              <w:t xml:space="preserve">Work is under Progress - 1) 33KV line- 143.1Km against 171.5Km, 2)11KV Line- 301.1Km against 308Km,3) LT line – 332.43Km against.335km, 4)Renovation of LT line- 46 against 62nos., 5) Electrification of PE Village- 517nos. against 565nos., 6) SAGY Village- 5nos. against 7nos.  </w:t>
            </w:r>
          </w:p>
        </w:tc>
      </w:tr>
      <w:tr w:rsidR="000351CA" w:rsidRPr="000351CA" w:rsidTr="004E3A11">
        <w:trPr>
          <w:trHeight w:val="499"/>
        </w:trPr>
        <w:tc>
          <w:tcPr>
            <w:tcW w:w="1307" w:type="dxa"/>
            <w:tcBorders>
              <w:top w:val="nil"/>
              <w:left w:val="single" w:sz="8" w:space="0" w:color="auto"/>
              <w:bottom w:val="single" w:sz="8" w:space="0" w:color="auto"/>
              <w:right w:val="single" w:sz="8" w:space="0" w:color="auto"/>
            </w:tcBorders>
            <w:shd w:val="clear" w:color="auto" w:fill="auto"/>
            <w:vAlign w:val="center"/>
            <w:hideMark/>
          </w:tcPr>
          <w:p w:rsidR="000351CA" w:rsidRPr="000351CA" w:rsidRDefault="000351CA" w:rsidP="004E3A11">
            <w:pPr>
              <w:jc w:val="center"/>
              <w:rPr>
                <w:color w:val="000000"/>
              </w:rPr>
            </w:pPr>
            <w:r w:rsidRPr="000351CA">
              <w:rPr>
                <w:color w:val="000000"/>
              </w:rPr>
              <w:t>Bhadrak</w:t>
            </w:r>
          </w:p>
        </w:tc>
        <w:tc>
          <w:tcPr>
            <w:tcW w:w="1235" w:type="dxa"/>
            <w:vMerge/>
            <w:tcBorders>
              <w:top w:val="nil"/>
              <w:left w:val="single" w:sz="8" w:space="0" w:color="auto"/>
              <w:bottom w:val="single" w:sz="8" w:space="0" w:color="000000"/>
              <w:right w:val="single" w:sz="8" w:space="0" w:color="auto"/>
            </w:tcBorders>
            <w:vAlign w:val="center"/>
            <w:hideMark/>
          </w:tcPr>
          <w:p w:rsidR="000351CA" w:rsidRPr="000351CA" w:rsidRDefault="000351CA" w:rsidP="004E3A11">
            <w:pPr>
              <w:jc w:val="center"/>
              <w:rPr>
                <w:color w:val="000000"/>
              </w:rPr>
            </w:pPr>
          </w:p>
        </w:tc>
        <w:tc>
          <w:tcPr>
            <w:tcW w:w="1061" w:type="dxa"/>
            <w:vMerge/>
            <w:tcBorders>
              <w:top w:val="nil"/>
              <w:left w:val="single" w:sz="8" w:space="0" w:color="auto"/>
              <w:bottom w:val="single" w:sz="8" w:space="0" w:color="000000"/>
              <w:right w:val="single" w:sz="8" w:space="0" w:color="auto"/>
            </w:tcBorders>
            <w:vAlign w:val="center"/>
            <w:hideMark/>
          </w:tcPr>
          <w:p w:rsidR="000351CA" w:rsidRPr="000351CA" w:rsidRDefault="000351CA" w:rsidP="004E3A11">
            <w:pPr>
              <w:jc w:val="center"/>
              <w:rPr>
                <w:color w:val="000000"/>
              </w:rPr>
            </w:pPr>
          </w:p>
        </w:tc>
        <w:tc>
          <w:tcPr>
            <w:tcW w:w="1136" w:type="dxa"/>
            <w:tcBorders>
              <w:top w:val="nil"/>
              <w:left w:val="nil"/>
              <w:bottom w:val="single" w:sz="8" w:space="0" w:color="auto"/>
              <w:right w:val="single" w:sz="8" w:space="0" w:color="auto"/>
            </w:tcBorders>
            <w:shd w:val="clear" w:color="auto" w:fill="auto"/>
            <w:vAlign w:val="center"/>
            <w:hideMark/>
          </w:tcPr>
          <w:p w:rsidR="000351CA" w:rsidRPr="000351CA" w:rsidRDefault="000351CA" w:rsidP="004E3A11">
            <w:pPr>
              <w:jc w:val="center"/>
              <w:rPr>
                <w:color w:val="000000"/>
              </w:rPr>
            </w:pPr>
            <w:r w:rsidRPr="000351CA">
              <w:rPr>
                <w:color w:val="000000"/>
              </w:rPr>
              <w:t>79.66</w:t>
            </w:r>
          </w:p>
        </w:tc>
        <w:tc>
          <w:tcPr>
            <w:tcW w:w="5482" w:type="dxa"/>
            <w:vMerge/>
            <w:tcBorders>
              <w:top w:val="nil"/>
              <w:left w:val="single" w:sz="8" w:space="0" w:color="auto"/>
              <w:bottom w:val="single" w:sz="8" w:space="0" w:color="000000"/>
              <w:right w:val="single" w:sz="8" w:space="0" w:color="auto"/>
            </w:tcBorders>
            <w:vAlign w:val="center"/>
            <w:hideMark/>
          </w:tcPr>
          <w:p w:rsidR="000351CA" w:rsidRPr="000351CA" w:rsidRDefault="000351CA" w:rsidP="004E3A11">
            <w:pPr>
              <w:rPr>
                <w:color w:val="000000"/>
              </w:rPr>
            </w:pPr>
          </w:p>
        </w:tc>
      </w:tr>
      <w:tr w:rsidR="000351CA" w:rsidRPr="000351CA" w:rsidTr="004E3A11">
        <w:trPr>
          <w:trHeight w:val="499"/>
        </w:trPr>
        <w:tc>
          <w:tcPr>
            <w:tcW w:w="1307" w:type="dxa"/>
            <w:tcBorders>
              <w:top w:val="nil"/>
              <w:left w:val="single" w:sz="8" w:space="0" w:color="auto"/>
              <w:bottom w:val="single" w:sz="8" w:space="0" w:color="auto"/>
              <w:right w:val="single" w:sz="8" w:space="0" w:color="auto"/>
            </w:tcBorders>
            <w:shd w:val="clear" w:color="auto" w:fill="auto"/>
            <w:vAlign w:val="center"/>
            <w:hideMark/>
          </w:tcPr>
          <w:p w:rsidR="000351CA" w:rsidRPr="000351CA" w:rsidRDefault="000351CA" w:rsidP="004E3A11">
            <w:pPr>
              <w:jc w:val="center"/>
              <w:rPr>
                <w:color w:val="000000"/>
              </w:rPr>
            </w:pPr>
            <w:r w:rsidRPr="000351CA">
              <w:rPr>
                <w:color w:val="000000"/>
              </w:rPr>
              <w:t>Jajpur</w:t>
            </w:r>
          </w:p>
        </w:tc>
        <w:tc>
          <w:tcPr>
            <w:tcW w:w="1235" w:type="dxa"/>
            <w:vMerge/>
            <w:tcBorders>
              <w:top w:val="nil"/>
              <w:left w:val="single" w:sz="8" w:space="0" w:color="auto"/>
              <w:bottom w:val="single" w:sz="8" w:space="0" w:color="000000"/>
              <w:right w:val="single" w:sz="8" w:space="0" w:color="auto"/>
            </w:tcBorders>
            <w:vAlign w:val="center"/>
            <w:hideMark/>
          </w:tcPr>
          <w:p w:rsidR="000351CA" w:rsidRPr="000351CA" w:rsidRDefault="000351CA" w:rsidP="004E3A11">
            <w:pPr>
              <w:jc w:val="center"/>
              <w:rPr>
                <w:color w:val="000000"/>
              </w:rPr>
            </w:pPr>
          </w:p>
        </w:tc>
        <w:tc>
          <w:tcPr>
            <w:tcW w:w="1061" w:type="dxa"/>
            <w:vMerge/>
            <w:tcBorders>
              <w:top w:val="nil"/>
              <w:left w:val="single" w:sz="8" w:space="0" w:color="auto"/>
              <w:bottom w:val="single" w:sz="8" w:space="0" w:color="000000"/>
              <w:right w:val="single" w:sz="8" w:space="0" w:color="auto"/>
            </w:tcBorders>
            <w:vAlign w:val="center"/>
            <w:hideMark/>
          </w:tcPr>
          <w:p w:rsidR="000351CA" w:rsidRPr="000351CA" w:rsidRDefault="000351CA" w:rsidP="004E3A11">
            <w:pPr>
              <w:jc w:val="center"/>
              <w:rPr>
                <w:color w:val="000000"/>
              </w:rPr>
            </w:pPr>
          </w:p>
        </w:tc>
        <w:tc>
          <w:tcPr>
            <w:tcW w:w="1136" w:type="dxa"/>
            <w:tcBorders>
              <w:top w:val="nil"/>
              <w:left w:val="nil"/>
              <w:bottom w:val="single" w:sz="8" w:space="0" w:color="auto"/>
              <w:right w:val="single" w:sz="8" w:space="0" w:color="auto"/>
            </w:tcBorders>
            <w:shd w:val="clear" w:color="auto" w:fill="auto"/>
            <w:vAlign w:val="center"/>
            <w:hideMark/>
          </w:tcPr>
          <w:p w:rsidR="000351CA" w:rsidRPr="000351CA" w:rsidRDefault="000351CA" w:rsidP="004E3A11">
            <w:pPr>
              <w:jc w:val="center"/>
              <w:rPr>
                <w:color w:val="000000"/>
              </w:rPr>
            </w:pPr>
            <w:r w:rsidRPr="000351CA">
              <w:rPr>
                <w:color w:val="000000"/>
              </w:rPr>
              <w:t>23.71</w:t>
            </w:r>
          </w:p>
        </w:tc>
        <w:tc>
          <w:tcPr>
            <w:tcW w:w="5482" w:type="dxa"/>
            <w:vMerge/>
            <w:tcBorders>
              <w:top w:val="nil"/>
              <w:left w:val="single" w:sz="8" w:space="0" w:color="auto"/>
              <w:bottom w:val="single" w:sz="8" w:space="0" w:color="000000"/>
              <w:right w:val="single" w:sz="8" w:space="0" w:color="auto"/>
            </w:tcBorders>
            <w:vAlign w:val="center"/>
            <w:hideMark/>
          </w:tcPr>
          <w:p w:rsidR="000351CA" w:rsidRPr="000351CA" w:rsidRDefault="000351CA" w:rsidP="004E3A11">
            <w:pPr>
              <w:rPr>
                <w:color w:val="000000"/>
              </w:rPr>
            </w:pPr>
          </w:p>
        </w:tc>
      </w:tr>
      <w:tr w:rsidR="000351CA" w:rsidRPr="000351CA" w:rsidTr="004E3A11">
        <w:trPr>
          <w:trHeight w:val="499"/>
        </w:trPr>
        <w:tc>
          <w:tcPr>
            <w:tcW w:w="1307" w:type="dxa"/>
            <w:tcBorders>
              <w:top w:val="nil"/>
              <w:left w:val="single" w:sz="8" w:space="0" w:color="auto"/>
              <w:bottom w:val="single" w:sz="8" w:space="0" w:color="auto"/>
              <w:right w:val="single" w:sz="8" w:space="0" w:color="auto"/>
            </w:tcBorders>
            <w:shd w:val="clear" w:color="auto" w:fill="auto"/>
            <w:vAlign w:val="center"/>
            <w:hideMark/>
          </w:tcPr>
          <w:p w:rsidR="000351CA" w:rsidRPr="000351CA" w:rsidRDefault="000351CA" w:rsidP="004E3A11">
            <w:pPr>
              <w:jc w:val="center"/>
              <w:rPr>
                <w:color w:val="000000"/>
              </w:rPr>
            </w:pPr>
            <w:r w:rsidRPr="000351CA">
              <w:rPr>
                <w:color w:val="000000"/>
              </w:rPr>
              <w:t>Mayurbhanj</w:t>
            </w:r>
          </w:p>
        </w:tc>
        <w:tc>
          <w:tcPr>
            <w:tcW w:w="1235" w:type="dxa"/>
            <w:vMerge/>
            <w:tcBorders>
              <w:top w:val="nil"/>
              <w:left w:val="single" w:sz="8" w:space="0" w:color="auto"/>
              <w:bottom w:val="single" w:sz="8" w:space="0" w:color="000000"/>
              <w:right w:val="single" w:sz="8" w:space="0" w:color="auto"/>
            </w:tcBorders>
            <w:vAlign w:val="center"/>
            <w:hideMark/>
          </w:tcPr>
          <w:p w:rsidR="000351CA" w:rsidRPr="000351CA" w:rsidRDefault="000351CA" w:rsidP="004E3A11">
            <w:pPr>
              <w:jc w:val="center"/>
              <w:rPr>
                <w:color w:val="000000"/>
              </w:rPr>
            </w:pPr>
          </w:p>
        </w:tc>
        <w:tc>
          <w:tcPr>
            <w:tcW w:w="1061" w:type="dxa"/>
            <w:vMerge/>
            <w:tcBorders>
              <w:top w:val="nil"/>
              <w:left w:val="single" w:sz="8" w:space="0" w:color="auto"/>
              <w:bottom w:val="single" w:sz="8" w:space="0" w:color="000000"/>
              <w:right w:val="single" w:sz="8" w:space="0" w:color="auto"/>
            </w:tcBorders>
            <w:vAlign w:val="center"/>
            <w:hideMark/>
          </w:tcPr>
          <w:p w:rsidR="000351CA" w:rsidRPr="000351CA" w:rsidRDefault="000351CA" w:rsidP="004E3A11">
            <w:pPr>
              <w:jc w:val="center"/>
              <w:rPr>
                <w:color w:val="000000"/>
              </w:rPr>
            </w:pPr>
          </w:p>
        </w:tc>
        <w:tc>
          <w:tcPr>
            <w:tcW w:w="1136" w:type="dxa"/>
            <w:tcBorders>
              <w:top w:val="nil"/>
              <w:left w:val="nil"/>
              <w:bottom w:val="single" w:sz="8" w:space="0" w:color="auto"/>
              <w:right w:val="single" w:sz="8" w:space="0" w:color="auto"/>
            </w:tcBorders>
            <w:shd w:val="clear" w:color="auto" w:fill="auto"/>
            <w:vAlign w:val="center"/>
            <w:hideMark/>
          </w:tcPr>
          <w:p w:rsidR="000351CA" w:rsidRPr="000351CA" w:rsidRDefault="000351CA" w:rsidP="004E3A11">
            <w:pPr>
              <w:jc w:val="center"/>
              <w:rPr>
                <w:color w:val="000000"/>
              </w:rPr>
            </w:pPr>
            <w:r w:rsidRPr="000351CA">
              <w:rPr>
                <w:color w:val="000000"/>
              </w:rPr>
              <w:t>34.48</w:t>
            </w:r>
          </w:p>
        </w:tc>
        <w:tc>
          <w:tcPr>
            <w:tcW w:w="5482" w:type="dxa"/>
            <w:vMerge/>
            <w:tcBorders>
              <w:top w:val="nil"/>
              <w:left w:val="single" w:sz="8" w:space="0" w:color="auto"/>
              <w:bottom w:val="single" w:sz="8" w:space="0" w:color="000000"/>
              <w:right w:val="single" w:sz="8" w:space="0" w:color="auto"/>
            </w:tcBorders>
            <w:vAlign w:val="center"/>
            <w:hideMark/>
          </w:tcPr>
          <w:p w:rsidR="000351CA" w:rsidRPr="000351CA" w:rsidRDefault="000351CA" w:rsidP="004E3A11">
            <w:pPr>
              <w:rPr>
                <w:color w:val="000000"/>
              </w:rPr>
            </w:pPr>
          </w:p>
        </w:tc>
      </w:tr>
      <w:tr w:rsidR="000351CA" w:rsidRPr="000351CA" w:rsidTr="004E3A11">
        <w:trPr>
          <w:trHeight w:val="499"/>
        </w:trPr>
        <w:tc>
          <w:tcPr>
            <w:tcW w:w="1307" w:type="dxa"/>
            <w:tcBorders>
              <w:top w:val="nil"/>
              <w:left w:val="single" w:sz="8" w:space="0" w:color="auto"/>
              <w:bottom w:val="single" w:sz="8" w:space="0" w:color="auto"/>
              <w:right w:val="single" w:sz="8" w:space="0" w:color="auto"/>
            </w:tcBorders>
            <w:shd w:val="clear" w:color="auto" w:fill="auto"/>
            <w:vAlign w:val="center"/>
            <w:hideMark/>
          </w:tcPr>
          <w:p w:rsidR="000351CA" w:rsidRPr="000351CA" w:rsidRDefault="000351CA" w:rsidP="004E3A11">
            <w:pPr>
              <w:jc w:val="center"/>
              <w:rPr>
                <w:color w:val="000000"/>
              </w:rPr>
            </w:pPr>
            <w:r w:rsidRPr="000351CA">
              <w:rPr>
                <w:color w:val="000000"/>
              </w:rPr>
              <w:t>Keonjhar</w:t>
            </w:r>
          </w:p>
        </w:tc>
        <w:tc>
          <w:tcPr>
            <w:tcW w:w="1235" w:type="dxa"/>
            <w:vMerge/>
            <w:tcBorders>
              <w:top w:val="nil"/>
              <w:left w:val="single" w:sz="8" w:space="0" w:color="auto"/>
              <w:bottom w:val="single" w:sz="8" w:space="0" w:color="000000"/>
              <w:right w:val="single" w:sz="8" w:space="0" w:color="auto"/>
            </w:tcBorders>
            <w:vAlign w:val="center"/>
            <w:hideMark/>
          </w:tcPr>
          <w:p w:rsidR="000351CA" w:rsidRPr="000351CA" w:rsidRDefault="000351CA" w:rsidP="004E3A11">
            <w:pPr>
              <w:jc w:val="center"/>
              <w:rPr>
                <w:color w:val="000000"/>
              </w:rPr>
            </w:pPr>
          </w:p>
        </w:tc>
        <w:tc>
          <w:tcPr>
            <w:tcW w:w="1061" w:type="dxa"/>
            <w:vMerge/>
            <w:tcBorders>
              <w:top w:val="nil"/>
              <w:left w:val="single" w:sz="8" w:space="0" w:color="auto"/>
              <w:bottom w:val="single" w:sz="8" w:space="0" w:color="000000"/>
              <w:right w:val="single" w:sz="8" w:space="0" w:color="auto"/>
            </w:tcBorders>
            <w:vAlign w:val="center"/>
            <w:hideMark/>
          </w:tcPr>
          <w:p w:rsidR="000351CA" w:rsidRPr="000351CA" w:rsidRDefault="000351CA" w:rsidP="004E3A11">
            <w:pPr>
              <w:jc w:val="center"/>
              <w:rPr>
                <w:color w:val="000000"/>
              </w:rPr>
            </w:pPr>
          </w:p>
        </w:tc>
        <w:tc>
          <w:tcPr>
            <w:tcW w:w="1136" w:type="dxa"/>
            <w:tcBorders>
              <w:top w:val="nil"/>
              <w:left w:val="nil"/>
              <w:bottom w:val="single" w:sz="8" w:space="0" w:color="auto"/>
              <w:right w:val="single" w:sz="8" w:space="0" w:color="auto"/>
            </w:tcBorders>
            <w:shd w:val="clear" w:color="auto" w:fill="auto"/>
            <w:vAlign w:val="center"/>
            <w:hideMark/>
          </w:tcPr>
          <w:p w:rsidR="000351CA" w:rsidRPr="000351CA" w:rsidRDefault="000351CA" w:rsidP="004E3A11">
            <w:pPr>
              <w:jc w:val="center"/>
              <w:rPr>
                <w:color w:val="000000"/>
              </w:rPr>
            </w:pPr>
            <w:r w:rsidRPr="000351CA">
              <w:rPr>
                <w:color w:val="000000"/>
              </w:rPr>
              <w:t>34.95</w:t>
            </w:r>
          </w:p>
        </w:tc>
        <w:tc>
          <w:tcPr>
            <w:tcW w:w="5482" w:type="dxa"/>
            <w:vMerge/>
            <w:tcBorders>
              <w:top w:val="nil"/>
              <w:left w:val="single" w:sz="8" w:space="0" w:color="auto"/>
              <w:bottom w:val="single" w:sz="8" w:space="0" w:color="000000"/>
              <w:right w:val="single" w:sz="8" w:space="0" w:color="auto"/>
            </w:tcBorders>
            <w:vAlign w:val="center"/>
            <w:hideMark/>
          </w:tcPr>
          <w:p w:rsidR="000351CA" w:rsidRPr="000351CA" w:rsidRDefault="000351CA" w:rsidP="004E3A11">
            <w:pPr>
              <w:rPr>
                <w:color w:val="000000"/>
              </w:rPr>
            </w:pPr>
          </w:p>
        </w:tc>
      </w:tr>
      <w:tr w:rsidR="000351CA" w:rsidRPr="000351CA" w:rsidTr="004E3A11">
        <w:trPr>
          <w:trHeight w:val="499"/>
        </w:trPr>
        <w:tc>
          <w:tcPr>
            <w:tcW w:w="1307" w:type="dxa"/>
            <w:tcBorders>
              <w:top w:val="nil"/>
              <w:left w:val="single" w:sz="8" w:space="0" w:color="auto"/>
              <w:bottom w:val="single" w:sz="8" w:space="0" w:color="auto"/>
              <w:right w:val="single" w:sz="8"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Total</w:t>
            </w:r>
          </w:p>
        </w:tc>
        <w:tc>
          <w:tcPr>
            <w:tcW w:w="1235" w:type="dxa"/>
            <w:tcBorders>
              <w:top w:val="nil"/>
              <w:left w:val="nil"/>
              <w:bottom w:val="single" w:sz="8" w:space="0" w:color="auto"/>
              <w:right w:val="single" w:sz="8" w:space="0" w:color="auto"/>
            </w:tcBorders>
            <w:shd w:val="clear" w:color="auto" w:fill="auto"/>
            <w:vAlign w:val="center"/>
            <w:hideMark/>
          </w:tcPr>
          <w:p w:rsidR="000351CA" w:rsidRPr="000351CA" w:rsidRDefault="000351CA" w:rsidP="004E3A11">
            <w:pPr>
              <w:jc w:val="center"/>
              <w:rPr>
                <w:color w:val="000000"/>
              </w:rPr>
            </w:pPr>
            <w:r w:rsidRPr="000351CA">
              <w:rPr>
                <w:color w:val="000000"/>
              </w:rPr>
              <w:t>470.15</w:t>
            </w:r>
          </w:p>
        </w:tc>
        <w:tc>
          <w:tcPr>
            <w:tcW w:w="1061" w:type="dxa"/>
            <w:tcBorders>
              <w:top w:val="nil"/>
              <w:left w:val="nil"/>
              <w:bottom w:val="single" w:sz="8" w:space="0" w:color="auto"/>
              <w:right w:val="single" w:sz="8" w:space="0" w:color="auto"/>
            </w:tcBorders>
            <w:shd w:val="clear" w:color="auto" w:fill="auto"/>
            <w:vAlign w:val="center"/>
            <w:hideMark/>
          </w:tcPr>
          <w:p w:rsidR="000351CA" w:rsidRPr="000351CA" w:rsidRDefault="000351CA" w:rsidP="004E3A11">
            <w:pPr>
              <w:jc w:val="center"/>
              <w:rPr>
                <w:color w:val="000000"/>
              </w:rPr>
            </w:pPr>
            <w:r w:rsidRPr="000351CA">
              <w:rPr>
                <w:color w:val="000000"/>
              </w:rPr>
              <w:t>447.18</w:t>
            </w:r>
          </w:p>
        </w:tc>
        <w:tc>
          <w:tcPr>
            <w:tcW w:w="1136" w:type="dxa"/>
            <w:tcBorders>
              <w:top w:val="nil"/>
              <w:left w:val="nil"/>
              <w:bottom w:val="single" w:sz="8" w:space="0" w:color="auto"/>
              <w:right w:val="single" w:sz="8" w:space="0" w:color="auto"/>
            </w:tcBorders>
            <w:shd w:val="clear" w:color="auto" w:fill="auto"/>
            <w:vAlign w:val="center"/>
            <w:hideMark/>
          </w:tcPr>
          <w:p w:rsidR="000351CA" w:rsidRPr="000351CA" w:rsidRDefault="000351CA" w:rsidP="004E3A11">
            <w:pPr>
              <w:jc w:val="center"/>
              <w:rPr>
                <w:color w:val="000000"/>
              </w:rPr>
            </w:pPr>
            <w:r w:rsidRPr="000351CA">
              <w:rPr>
                <w:color w:val="000000"/>
              </w:rPr>
              <w:t>362.95</w:t>
            </w:r>
          </w:p>
        </w:tc>
        <w:tc>
          <w:tcPr>
            <w:tcW w:w="5482" w:type="dxa"/>
            <w:vMerge/>
            <w:tcBorders>
              <w:top w:val="nil"/>
              <w:left w:val="single" w:sz="8" w:space="0" w:color="auto"/>
              <w:bottom w:val="single" w:sz="8" w:space="0" w:color="000000"/>
              <w:right w:val="single" w:sz="8" w:space="0" w:color="auto"/>
            </w:tcBorders>
            <w:vAlign w:val="center"/>
            <w:hideMark/>
          </w:tcPr>
          <w:p w:rsidR="000351CA" w:rsidRPr="000351CA" w:rsidRDefault="000351CA" w:rsidP="004E3A11">
            <w:pPr>
              <w:rPr>
                <w:color w:val="000000"/>
              </w:rPr>
            </w:pPr>
          </w:p>
        </w:tc>
      </w:tr>
    </w:tbl>
    <w:p w:rsidR="000351CA" w:rsidRPr="000351CA" w:rsidRDefault="000351CA" w:rsidP="000351CA">
      <w:pPr>
        <w:pStyle w:val="ListParagraph"/>
        <w:spacing w:after="150"/>
        <w:jc w:val="both"/>
        <w:outlineLvl w:val="0"/>
        <w:rPr>
          <w:rFonts w:eastAsia="Times New Roman" w:cs="Arial"/>
          <w:color w:val="040404"/>
          <w:kern w:val="36"/>
        </w:rPr>
      </w:pPr>
    </w:p>
    <w:p w:rsidR="000351CA" w:rsidRPr="000351CA" w:rsidRDefault="000351CA" w:rsidP="000351CA">
      <w:pPr>
        <w:pStyle w:val="ListParagraph"/>
        <w:spacing w:line="360" w:lineRule="auto"/>
        <w:ind w:left="360"/>
        <w:jc w:val="both"/>
        <w:rPr>
          <w:rFonts w:ascii="Cambria" w:hAnsi="Cambria" w:cs="Calibri"/>
          <w:color w:val="232323"/>
          <w:sz w:val="24"/>
          <w:szCs w:val="24"/>
        </w:rPr>
      </w:pPr>
      <w:r w:rsidRPr="000351CA">
        <w:rPr>
          <w:rFonts w:ascii="Cambria" w:hAnsi="Cambria" w:cs="Calibri"/>
          <w:color w:val="232323"/>
          <w:sz w:val="24"/>
          <w:szCs w:val="24"/>
        </w:rPr>
        <w:t>All the balance work are to be completed by Dec’2019.</w:t>
      </w:r>
    </w:p>
    <w:p w:rsidR="000351CA" w:rsidRPr="000351CA" w:rsidRDefault="000351CA" w:rsidP="000351CA">
      <w:pPr>
        <w:pStyle w:val="ListParagraph"/>
        <w:spacing w:after="150"/>
        <w:jc w:val="both"/>
        <w:outlineLvl w:val="0"/>
        <w:rPr>
          <w:rFonts w:eastAsia="Times New Roman" w:cs="Arial"/>
          <w:color w:val="040404"/>
          <w:kern w:val="36"/>
        </w:rPr>
      </w:pPr>
    </w:p>
    <w:p w:rsidR="000351CA" w:rsidRDefault="000351CA" w:rsidP="000351CA">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bookmarkStart w:id="37" w:name="_Toc25850934"/>
      <w:r w:rsidRPr="000351CA">
        <w:rPr>
          <w:rFonts w:asciiTheme="minorHAnsi" w:hAnsiTheme="minorHAnsi"/>
          <w:smallCaps/>
          <w:color w:val="000000"/>
          <w:sz w:val="22"/>
          <w:szCs w:val="22"/>
        </w:rPr>
        <w:t>Integrated Power Development Scheme (IPDS)</w:t>
      </w:r>
      <w:bookmarkEnd w:id="37"/>
    </w:p>
    <w:p w:rsidR="000351CA" w:rsidRPr="000351CA" w:rsidRDefault="000351CA" w:rsidP="000351CA"/>
    <w:p w:rsidR="000351CA" w:rsidRPr="000351CA" w:rsidRDefault="000351CA" w:rsidP="000351CA">
      <w:pPr>
        <w:pStyle w:val="ListParagraph"/>
        <w:spacing w:line="360" w:lineRule="auto"/>
        <w:ind w:left="360"/>
        <w:jc w:val="both"/>
        <w:rPr>
          <w:rFonts w:asciiTheme="majorHAnsi" w:hAnsiTheme="majorHAnsi" w:cs="Calibri"/>
          <w:color w:val="232323"/>
          <w:sz w:val="24"/>
          <w:szCs w:val="24"/>
        </w:rPr>
      </w:pPr>
      <w:r w:rsidRPr="000351CA">
        <w:rPr>
          <w:rFonts w:ascii="Cambria" w:hAnsi="Cambria" w:cs="Calibri"/>
          <w:color w:val="232323"/>
          <w:sz w:val="24"/>
          <w:szCs w:val="24"/>
        </w:rPr>
        <w:t xml:space="preserve">Govt. of India has launched Integrated Power Development Scheme (IPDS) for providing quality &amp; 24x7                   un-interrupted power supply to  the Urban areas by strengthening the electrical network i.e. 1)construction of  new 33/11KV sub-stations, 2) Renovation &amp; modernisation of 33/11KV s/s, 3) new 33KV &amp; 11KV line, 4) </w:t>
      </w:r>
      <w:r w:rsidRPr="000351CA">
        <w:rPr>
          <w:rFonts w:ascii="Cambria" w:hAnsi="Cambria" w:cs="Calibri"/>
          <w:color w:val="232323"/>
          <w:sz w:val="24"/>
          <w:szCs w:val="24"/>
        </w:rPr>
        <w:lastRenderedPageBreak/>
        <w:t>u/g of conductor of 33KV &amp; 11KV line, 5)Installation of new DTR, 6) New LT Line, 7)  Replacement of bare LT line with AB cable.</w:t>
      </w:r>
    </w:p>
    <w:p w:rsidR="000351CA" w:rsidRPr="000351CA" w:rsidRDefault="000351CA" w:rsidP="000351CA">
      <w:pPr>
        <w:pStyle w:val="ListParagraph"/>
        <w:numPr>
          <w:ilvl w:val="0"/>
          <w:numId w:val="19"/>
        </w:numPr>
        <w:spacing w:after="150"/>
        <w:jc w:val="both"/>
        <w:outlineLvl w:val="0"/>
        <w:rPr>
          <w:rFonts w:asciiTheme="majorHAnsi" w:eastAsia="Times New Roman" w:hAnsiTheme="majorHAnsi" w:cs="Arial"/>
          <w:color w:val="040404"/>
          <w:kern w:val="36"/>
          <w:sz w:val="24"/>
          <w:szCs w:val="24"/>
        </w:rPr>
      </w:pPr>
      <w:bookmarkStart w:id="38" w:name="_Toc25767842"/>
      <w:bookmarkStart w:id="39" w:name="_Toc25850935"/>
      <w:r w:rsidRPr="000351CA">
        <w:rPr>
          <w:rFonts w:asciiTheme="majorHAnsi" w:eastAsia="Times New Roman" w:hAnsiTheme="majorHAnsi" w:cs="Arial"/>
          <w:color w:val="040404"/>
          <w:kern w:val="36"/>
          <w:sz w:val="24"/>
          <w:szCs w:val="24"/>
        </w:rPr>
        <w:t>Executing agency –OPTCL</w:t>
      </w:r>
      <w:bookmarkEnd w:id="38"/>
      <w:bookmarkEnd w:id="39"/>
    </w:p>
    <w:p w:rsidR="000351CA" w:rsidRPr="000351CA" w:rsidRDefault="000351CA" w:rsidP="000351CA">
      <w:pPr>
        <w:pStyle w:val="ListParagraph"/>
        <w:numPr>
          <w:ilvl w:val="0"/>
          <w:numId w:val="19"/>
        </w:numPr>
        <w:spacing w:after="150"/>
        <w:jc w:val="both"/>
        <w:outlineLvl w:val="0"/>
        <w:rPr>
          <w:rFonts w:asciiTheme="majorHAnsi" w:eastAsia="Times New Roman" w:hAnsiTheme="majorHAnsi" w:cs="Arial"/>
          <w:color w:val="040404"/>
          <w:kern w:val="36"/>
          <w:sz w:val="24"/>
          <w:szCs w:val="24"/>
        </w:rPr>
      </w:pPr>
      <w:bookmarkStart w:id="40" w:name="_Toc25767843"/>
      <w:bookmarkStart w:id="41" w:name="_Toc25850936"/>
      <w:r w:rsidRPr="000351CA">
        <w:rPr>
          <w:rFonts w:asciiTheme="majorHAnsi" w:eastAsia="Times New Roman" w:hAnsiTheme="majorHAnsi" w:cs="Arial"/>
          <w:color w:val="040404"/>
          <w:kern w:val="36"/>
          <w:sz w:val="24"/>
          <w:szCs w:val="24"/>
        </w:rPr>
        <w:t>Project Monitoring Agency (PMA)- NPTI (Feedback Infra)</w:t>
      </w:r>
      <w:bookmarkEnd w:id="40"/>
      <w:bookmarkEnd w:id="41"/>
    </w:p>
    <w:p w:rsidR="000351CA" w:rsidRPr="000351CA" w:rsidRDefault="000351CA" w:rsidP="000351CA">
      <w:pPr>
        <w:pStyle w:val="ListParagraph"/>
        <w:numPr>
          <w:ilvl w:val="0"/>
          <w:numId w:val="19"/>
        </w:numPr>
        <w:spacing w:after="150"/>
        <w:jc w:val="both"/>
        <w:outlineLvl w:val="0"/>
        <w:rPr>
          <w:rFonts w:asciiTheme="majorHAnsi" w:eastAsia="Times New Roman" w:hAnsiTheme="majorHAnsi" w:cs="Arial"/>
          <w:color w:val="040404"/>
          <w:kern w:val="36"/>
          <w:sz w:val="24"/>
          <w:szCs w:val="24"/>
        </w:rPr>
      </w:pPr>
      <w:bookmarkStart w:id="42" w:name="_Toc25767844"/>
      <w:bookmarkStart w:id="43" w:name="_Toc25850937"/>
      <w:r w:rsidRPr="000351CA">
        <w:rPr>
          <w:rFonts w:asciiTheme="majorHAnsi" w:eastAsia="Times New Roman" w:hAnsiTheme="majorHAnsi" w:cs="Arial"/>
          <w:color w:val="040404"/>
          <w:kern w:val="36"/>
          <w:sz w:val="24"/>
          <w:szCs w:val="24"/>
        </w:rPr>
        <w:t>EPC Contractor- M/S OSIC Ltd.</w:t>
      </w:r>
      <w:bookmarkEnd w:id="42"/>
      <w:bookmarkEnd w:id="43"/>
    </w:p>
    <w:p w:rsidR="000351CA" w:rsidRPr="000351CA" w:rsidRDefault="000351CA" w:rsidP="000351CA">
      <w:pPr>
        <w:autoSpaceDE w:val="0"/>
        <w:autoSpaceDN w:val="0"/>
        <w:adjustRightInd w:val="0"/>
        <w:jc w:val="both"/>
        <w:rPr>
          <w:rFonts w:cs="Arial"/>
        </w:rPr>
      </w:pPr>
      <w:r w:rsidRPr="000351CA">
        <w:rPr>
          <w:rFonts w:cs="Arial"/>
        </w:rPr>
        <w:t>Details of the scheme is as follows:-</w:t>
      </w:r>
    </w:p>
    <w:tbl>
      <w:tblPr>
        <w:tblW w:w="9980" w:type="dxa"/>
        <w:tblInd w:w="93" w:type="dxa"/>
        <w:tblLook w:val="04A0"/>
      </w:tblPr>
      <w:tblGrid>
        <w:gridCol w:w="1635"/>
        <w:gridCol w:w="1813"/>
        <w:gridCol w:w="1095"/>
        <w:gridCol w:w="1190"/>
        <w:gridCol w:w="4247"/>
      </w:tblGrid>
      <w:tr w:rsidR="000351CA" w:rsidRPr="000351CA" w:rsidTr="004E3A11">
        <w:trPr>
          <w:trHeight w:val="309"/>
        </w:trPr>
        <w:tc>
          <w:tcPr>
            <w:tcW w:w="1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District</w:t>
            </w:r>
          </w:p>
        </w:tc>
        <w:tc>
          <w:tcPr>
            <w:tcW w:w="18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 xml:space="preserve">Sanctioned Cost (Rs . In Cr) </w:t>
            </w:r>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 xml:space="preserve">LOA Cost Excl. metering (Rs . In Cr) </w:t>
            </w:r>
          </w:p>
        </w:tc>
        <w:tc>
          <w:tcPr>
            <w:tcW w:w="11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 xml:space="preserve">Revised Allotment Cost (Rs . In Cr) </w:t>
            </w:r>
          </w:p>
        </w:tc>
        <w:tc>
          <w:tcPr>
            <w:tcW w:w="43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Work Progress</w:t>
            </w:r>
          </w:p>
        </w:tc>
      </w:tr>
      <w:tr w:rsidR="000351CA" w:rsidRPr="000351CA" w:rsidTr="004E3A11">
        <w:trPr>
          <w:trHeight w:val="309"/>
        </w:trPr>
        <w:tc>
          <w:tcPr>
            <w:tcW w:w="1640" w:type="dxa"/>
            <w:vMerge/>
            <w:tcBorders>
              <w:top w:val="single" w:sz="4" w:space="0" w:color="auto"/>
              <w:left w:val="single" w:sz="4" w:space="0" w:color="auto"/>
              <w:bottom w:val="single" w:sz="4" w:space="0" w:color="auto"/>
              <w:right w:val="single" w:sz="4" w:space="0" w:color="auto"/>
            </w:tcBorders>
            <w:vAlign w:val="center"/>
            <w:hideMark/>
          </w:tcPr>
          <w:p w:rsidR="000351CA" w:rsidRPr="000351CA" w:rsidRDefault="000351CA" w:rsidP="004E3A11">
            <w:pPr>
              <w:rPr>
                <w:color w:val="000000"/>
              </w:rPr>
            </w:pPr>
          </w:p>
        </w:tc>
        <w:tc>
          <w:tcPr>
            <w:tcW w:w="1823" w:type="dxa"/>
            <w:vMerge/>
            <w:tcBorders>
              <w:top w:val="single" w:sz="4" w:space="0" w:color="auto"/>
              <w:left w:val="single" w:sz="4" w:space="0" w:color="auto"/>
              <w:bottom w:val="single" w:sz="4" w:space="0" w:color="auto"/>
              <w:right w:val="single" w:sz="4" w:space="0" w:color="auto"/>
            </w:tcBorders>
            <w:vAlign w:val="center"/>
            <w:hideMark/>
          </w:tcPr>
          <w:p w:rsidR="000351CA" w:rsidRPr="000351CA" w:rsidRDefault="000351CA" w:rsidP="004E3A11">
            <w:pPr>
              <w:rPr>
                <w:color w:val="000000"/>
              </w:rPr>
            </w:pPr>
          </w:p>
        </w:tc>
        <w:tc>
          <w:tcPr>
            <w:tcW w:w="1096" w:type="dxa"/>
            <w:vMerge/>
            <w:tcBorders>
              <w:top w:val="single" w:sz="4" w:space="0" w:color="auto"/>
              <w:left w:val="single" w:sz="4" w:space="0" w:color="auto"/>
              <w:bottom w:val="single" w:sz="4" w:space="0" w:color="auto"/>
              <w:right w:val="single" w:sz="4" w:space="0" w:color="auto"/>
            </w:tcBorders>
            <w:vAlign w:val="center"/>
            <w:hideMark/>
          </w:tcPr>
          <w:p w:rsidR="000351CA" w:rsidRPr="000351CA" w:rsidRDefault="000351CA" w:rsidP="004E3A11">
            <w:pPr>
              <w:rPr>
                <w:color w:val="000000"/>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0351CA" w:rsidRPr="000351CA" w:rsidRDefault="000351CA" w:rsidP="004E3A11">
            <w:pPr>
              <w:rPr>
                <w:color w:val="000000"/>
              </w:rPr>
            </w:pPr>
          </w:p>
        </w:tc>
        <w:tc>
          <w:tcPr>
            <w:tcW w:w="4305" w:type="dxa"/>
            <w:vMerge/>
            <w:tcBorders>
              <w:top w:val="single" w:sz="4" w:space="0" w:color="auto"/>
              <w:left w:val="single" w:sz="4" w:space="0" w:color="auto"/>
              <w:bottom w:val="single" w:sz="4" w:space="0" w:color="auto"/>
              <w:right w:val="single" w:sz="4" w:space="0" w:color="auto"/>
            </w:tcBorders>
            <w:vAlign w:val="center"/>
            <w:hideMark/>
          </w:tcPr>
          <w:p w:rsidR="000351CA" w:rsidRPr="000351CA" w:rsidRDefault="000351CA" w:rsidP="004E3A11">
            <w:pPr>
              <w:rPr>
                <w:color w:val="000000"/>
              </w:rPr>
            </w:pPr>
          </w:p>
        </w:tc>
      </w:tr>
      <w:tr w:rsidR="000351CA" w:rsidRPr="000351CA" w:rsidTr="004E3A11">
        <w:trPr>
          <w:trHeight w:val="315"/>
        </w:trPr>
        <w:tc>
          <w:tcPr>
            <w:tcW w:w="1640" w:type="dxa"/>
            <w:tcBorders>
              <w:top w:val="nil"/>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rPr>
                <w:color w:val="000000"/>
              </w:rPr>
            </w:pPr>
            <w:r w:rsidRPr="000351CA">
              <w:rPr>
                <w:color w:val="000000"/>
              </w:rPr>
              <w:t>Balasore</w:t>
            </w:r>
          </w:p>
        </w:tc>
        <w:tc>
          <w:tcPr>
            <w:tcW w:w="1823" w:type="dxa"/>
            <w:vMerge w:val="restart"/>
            <w:tcBorders>
              <w:top w:val="nil"/>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326.351 (Including metering cost )</w:t>
            </w:r>
          </w:p>
        </w:tc>
        <w:tc>
          <w:tcPr>
            <w:tcW w:w="1096" w:type="dxa"/>
            <w:vMerge w:val="restart"/>
            <w:tcBorders>
              <w:top w:val="nil"/>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299.01</w:t>
            </w:r>
          </w:p>
        </w:tc>
        <w:tc>
          <w:tcPr>
            <w:tcW w:w="1116"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94.79</w:t>
            </w:r>
          </w:p>
        </w:tc>
        <w:tc>
          <w:tcPr>
            <w:tcW w:w="4305" w:type="dxa"/>
            <w:vMerge w:val="restart"/>
            <w:tcBorders>
              <w:top w:val="nil"/>
              <w:left w:val="single" w:sz="4" w:space="0" w:color="auto"/>
              <w:bottom w:val="single" w:sz="4" w:space="0" w:color="000000"/>
              <w:right w:val="single" w:sz="4" w:space="0" w:color="auto"/>
            </w:tcBorders>
            <w:shd w:val="clear" w:color="auto" w:fill="auto"/>
            <w:vAlign w:val="center"/>
            <w:hideMark/>
          </w:tcPr>
          <w:p w:rsidR="000351CA" w:rsidRPr="000351CA" w:rsidRDefault="000351CA" w:rsidP="004E3A11">
            <w:pPr>
              <w:rPr>
                <w:color w:val="000000"/>
              </w:rPr>
            </w:pPr>
            <w:r w:rsidRPr="000351CA">
              <w:rPr>
                <w:color w:val="000000"/>
              </w:rPr>
              <w:t xml:space="preserve">Work is under Progress - 1)33/11Kv S/s – 0 against 7nos., 2)  33KV new  line- 17.49km against 72.64Km, 3) 11KV new  line- 137.62km against 241.44Km, 4) DTR- 623 against 992nos., 5) New LT line- 480 against 480km, 6) Aug of 33KV line- 2.53Km against 28.77Km, 7) Aug of 11KV line- 0.36Km against 45.87Km, 8)AUG of LT Line- 382km against 531.76km, 9) Aug of 33/11KV s/s- 0 against 27nos.  </w:t>
            </w:r>
          </w:p>
        </w:tc>
      </w:tr>
      <w:tr w:rsidR="000351CA" w:rsidRPr="000351CA" w:rsidTr="004E3A11">
        <w:trPr>
          <w:trHeight w:val="315"/>
        </w:trPr>
        <w:tc>
          <w:tcPr>
            <w:tcW w:w="1640" w:type="dxa"/>
            <w:tcBorders>
              <w:top w:val="nil"/>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rPr>
                <w:color w:val="000000"/>
              </w:rPr>
            </w:pPr>
            <w:r w:rsidRPr="000351CA">
              <w:rPr>
                <w:color w:val="000000"/>
              </w:rPr>
              <w:t>Bhadrak</w:t>
            </w:r>
          </w:p>
        </w:tc>
        <w:tc>
          <w:tcPr>
            <w:tcW w:w="1823" w:type="dxa"/>
            <w:vMerge/>
            <w:tcBorders>
              <w:top w:val="nil"/>
              <w:left w:val="single" w:sz="4" w:space="0" w:color="auto"/>
              <w:bottom w:val="single" w:sz="4" w:space="0" w:color="auto"/>
              <w:right w:val="single" w:sz="4" w:space="0" w:color="auto"/>
            </w:tcBorders>
            <w:vAlign w:val="center"/>
            <w:hideMark/>
          </w:tcPr>
          <w:p w:rsidR="000351CA" w:rsidRPr="000351CA" w:rsidRDefault="000351CA" w:rsidP="004E3A11">
            <w:pPr>
              <w:rPr>
                <w:color w:val="000000"/>
              </w:rPr>
            </w:pPr>
          </w:p>
        </w:tc>
        <w:tc>
          <w:tcPr>
            <w:tcW w:w="1096" w:type="dxa"/>
            <w:vMerge/>
            <w:tcBorders>
              <w:top w:val="nil"/>
              <w:left w:val="single" w:sz="4" w:space="0" w:color="auto"/>
              <w:bottom w:val="single" w:sz="4" w:space="0" w:color="auto"/>
              <w:right w:val="single" w:sz="4" w:space="0" w:color="auto"/>
            </w:tcBorders>
            <w:vAlign w:val="center"/>
            <w:hideMark/>
          </w:tcPr>
          <w:p w:rsidR="000351CA" w:rsidRPr="000351CA" w:rsidRDefault="000351CA" w:rsidP="004E3A11">
            <w:pPr>
              <w:rPr>
                <w:color w:val="000000"/>
              </w:rPr>
            </w:pPr>
          </w:p>
        </w:tc>
        <w:tc>
          <w:tcPr>
            <w:tcW w:w="1116"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56.63</w:t>
            </w:r>
          </w:p>
        </w:tc>
        <w:tc>
          <w:tcPr>
            <w:tcW w:w="4305" w:type="dxa"/>
            <w:vMerge/>
            <w:tcBorders>
              <w:top w:val="nil"/>
              <w:left w:val="single" w:sz="4" w:space="0" w:color="auto"/>
              <w:bottom w:val="single" w:sz="4" w:space="0" w:color="000000"/>
              <w:right w:val="single" w:sz="4" w:space="0" w:color="auto"/>
            </w:tcBorders>
            <w:vAlign w:val="center"/>
            <w:hideMark/>
          </w:tcPr>
          <w:p w:rsidR="000351CA" w:rsidRPr="000351CA" w:rsidRDefault="000351CA" w:rsidP="004E3A11">
            <w:pPr>
              <w:rPr>
                <w:color w:val="000000"/>
              </w:rPr>
            </w:pPr>
          </w:p>
        </w:tc>
      </w:tr>
      <w:tr w:rsidR="000351CA" w:rsidRPr="000351CA" w:rsidTr="004E3A11">
        <w:trPr>
          <w:trHeight w:val="315"/>
        </w:trPr>
        <w:tc>
          <w:tcPr>
            <w:tcW w:w="1640" w:type="dxa"/>
            <w:tcBorders>
              <w:top w:val="nil"/>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rPr>
                <w:color w:val="000000"/>
              </w:rPr>
            </w:pPr>
            <w:r w:rsidRPr="000351CA">
              <w:rPr>
                <w:color w:val="000000"/>
              </w:rPr>
              <w:t xml:space="preserve"> Jajpur</w:t>
            </w:r>
          </w:p>
        </w:tc>
        <w:tc>
          <w:tcPr>
            <w:tcW w:w="1823" w:type="dxa"/>
            <w:vMerge/>
            <w:tcBorders>
              <w:top w:val="nil"/>
              <w:left w:val="single" w:sz="4" w:space="0" w:color="auto"/>
              <w:bottom w:val="single" w:sz="4" w:space="0" w:color="auto"/>
              <w:right w:val="single" w:sz="4" w:space="0" w:color="auto"/>
            </w:tcBorders>
            <w:vAlign w:val="center"/>
            <w:hideMark/>
          </w:tcPr>
          <w:p w:rsidR="000351CA" w:rsidRPr="000351CA" w:rsidRDefault="000351CA" w:rsidP="004E3A11">
            <w:pPr>
              <w:rPr>
                <w:color w:val="000000"/>
              </w:rPr>
            </w:pPr>
          </w:p>
        </w:tc>
        <w:tc>
          <w:tcPr>
            <w:tcW w:w="1096" w:type="dxa"/>
            <w:vMerge/>
            <w:tcBorders>
              <w:top w:val="nil"/>
              <w:left w:val="single" w:sz="4" w:space="0" w:color="auto"/>
              <w:bottom w:val="single" w:sz="4" w:space="0" w:color="auto"/>
              <w:right w:val="single" w:sz="4" w:space="0" w:color="auto"/>
            </w:tcBorders>
            <w:vAlign w:val="center"/>
            <w:hideMark/>
          </w:tcPr>
          <w:p w:rsidR="000351CA" w:rsidRPr="000351CA" w:rsidRDefault="000351CA" w:rsidP="004E3A11">
            <w:pPr>
              <w:rPr>
                <w:color w:val="000000"/>
              </w:rPr>
            </w:pPr>
          </w:p>
        </w:tc>
        <w:tc>
          <w:tcPr>
            <w:tcW w:w="1116"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60.66</w:t>
            </w:r>
          </w:p>
        </w:tc>
        <w:tc>
          <w:tcPr>
            <w:tcW w:w="4305" w:type="dxa"/>
            <w:vMerge/>
            <w:tcBorders>
              <w:top w:val="nil"/>
              <w:left w:val="single" w:sz="4" w:space="0" w:color="auto"/>
              <w:bottom w:val="single" w:sz="4" w:space="0" w:color="000000"/>
              <w:right w:val="single" w:sz="4" w:space="0" w:color="auto"/>
            </w:tcBorders>
            <w:vAlign w:val="center"/>
            <w:hideMark/>
          </w:tcPr>
          <w:p w:rsidR="000351CA" w:rsidRPr="000351CA" w:rsidRDefault="000351CA" w:rsidP="004E3A11">
            <w:pPr>
              <w:rPr>
                <w:color w:val="000000"/>
              </w:rPr>
            </w:pPr>
          </w:p>
        </w:tc>
      </w:tr>
      <w:tr w:rsidR="000351CA" w:rsidRPr="000351CA" w:rsidTr="004E3A11">
        <w:trPr>
          <w:trHeight w:val="315"/>
        </w:trPr>
        <w:tc>
          <w:tcPr>
            <w:tcW w:w="1640" w:type="dxa"/>
            <w:tcBorders>
              <w:top w:val="nil"/>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rPr>
                <w:color w:val="000000"/>
              </w:rPr>
            </w:pPr>
            <w:r w:rsidRPr="000351CA">
              <w:rPr>
                <w:color w:val="000000"/>
              </w:rPr>
              <w:t>Mayurbhanj</w:t>
            </w:r>
          </w:p>
        </w:tc>
        <w:tc>
          <w:tcPr>
            <w:tcW w:w="1823" w:type="dxa"/>
            <w:vMerge/>
            <w:tcBorders>
              <w:top w:val="nil"/>
              <w:left w:val="single" w:sz="4" w:space="0" w:color="auto"/>
              <w:bottom w:val="single" w:sz="4" w:space="0" w:color="auto"/>
              <w:right w:val="single" w:sz="4" w:space="0" w:color="auto"/>
            </w:tcBorders>
            <w:vAlign w:val="center"/>
            <w:hideMark/>
          </w:tcPr>
          <w:p w:rsidR="000351CA" w:rsidRPr="000351CA" w:rsidRDefault="000351CA" w:rsidP="004E3A11">
            <w:pPr>
              <w:rPr>
                <w:color w:val="000000"/>
              </w:rPr>
            </w:pPr>
          </w:p>
        </w:tc>
        <w:tc>
          <w:tcPr>
            <w:tcW w:w="1096" w:type="dxa"/>
            <w:vMerge/>
            <w:tcBorders>
              <w:top w:val="nil"/>
              <w:left w:val="single" w:sz="4" w:space="0" w:color="auto"/>
              <w:bottom w:val="single" w:sz="4" w:space="0" w:color="auto"/>
              <w:right w:val="single" w:sz="4" w:space="0" w:color="auto"/>
            </w:tcBorders>
            <w:vAlign w:val="center"/>
            <w:hideMark/>
          </w:tcPr>
          <w:p w:rsidR="000351CA" w:rsidRPr="000351CA" w:rsidRDefault="000351CA" w:rsidP="004E3A11">
            <w:pPr>
              <w:rPr>
                <w:color w:val="000000"/>
              </w:rPr>
            </w:pPr>
          </w:p>
        </w:tc>
        <w:tc>
          <w:tcPr>
            <w:tcW w:w="1116"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34.99</w:t>
            </w:r>
          </w:p>
        </w:tc>
        <w:tc>
          <w:tcPr>
            <w:tcW w:w="4305" w:type="dxa"/>
            <w:vMerge/>
            <w:tcBorders>
              <w:top w:val="nil"/>
              <w:left w:val="single" w:sz="4" w:space="0" w:color="auto"/>
              <w:bottom w:val="single" w:sz="4" w:space="0" w:color="000000"/>
              <w:right w:val="single" w:sz="4" w:space="0" w:color="auto"/>
            </w:tcBorders>
            <w:vAlign w:val="center"/>
            <w:hideMark/>
          </w:tcPr>
          <w:p w:rsidR="000351CA" w:rsidRPr="000351CA" w:rsidRDefault="000351CA" w:rsidP="004E3A11">
            <w:pPr>
              <w:rPr>
                <w:color w:val="000000"/>
              </w:rPr>
            </w:pPr>
          </w:p>
        </w:tc>
      </w:tr>
      <w:tr w:rsidR="000351CA" w:rsidRPr="000351CA" w:rsidTr="004E3A11">
        <w:trPr>
          <w:trHeight w:val="315"/>
        </w:trPr>
        <w:tc>
          <w:tcPr>
            <w:tcW w:w="1640" w:type="dxa"/>
            <w:tcBorders>
              <w:top w:val="nil"/>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rPr>
                <w:color w:val="000000"/>
              </w:rPr>
            </w:pPr>
            <w:r w:rsidRPr="000351CA">
              <w:rPr>
                <w:color w:val="000000"/>
              </w:rPr>
              <w:t>Keonjhar</w:t>
            </w:r>
          </w:p>
        </w:tc>
        <w:tc>
          <w:tcPr>
            <w:tcW w:w="1823" w:type="dxa"/>
            <w:vMerge/>
            <w:tcBorders>
              <w:top w:val="nil"/>
              <w:left w:val="single" w:sz="4" w:space="0" w:color="auto"/>
              <w:bottom w:val="single" w:sz="4" w:space="0" w:color="auto"/>
              <w:right w:val="single" w:sz="4" w:space="0" w:color="auto"/>
            </w:tcBorders>
            <w:vAlign w:val="center"/>
            <w:hideMark/>
          </w:tcPr>
          <w:p w:rsidR="000351CA" w:rsidRPr="000351CA" w:rsidRDefault="000351CA" w:rsidP="004E3A11">
            <w:pPr>
              <w:rPr>
                <w:color w:val="000000"/>
              </w:rPr>
            </w:pPr>
          </w:p>
        </w:tc>
        <w:tc>
          <w:tcPr>
            <w:tcW w:w="1096" w:type="dxa"/>
            <w:vMerge/>
            <w:tcBorders>
              <w:top w:val="nil"/>
              <w:left w:val="single" w:sz="4" w:space="0" w:color="auto"/>
              <w:bottom w:val="single" w:sz="4" w:space="0" w:color="auto"/>
              <w:right w:val="single" w:sz="4" w:space="0" w:color="auto"/>
            </w:tcBorders>
            <w:vAlign w:val="center"/>
            <w:hideMark/>
          </w:tcPr>
          <w:p w:rsidR="000351CA" w:rsidRPr="000351CA" w:rsidRDefault="000351CA" w:rsidP="004E3A11">
            <w:pPr>
              <w:rPr>
                <w:color w:val="000000"/>
              </w:rPr>
            </w:pPr>
          </w:p>
        </w:tc>
        <w:tc>
          <w:tcPr>
            <w:tcW w:w="1116"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51.92</w:t>
            </w:r>
          </w:p>
        </w:tc>
        <w:tc>
          <w:tcPr>
            <w:tcW w:w="4305" w:type="dxa"/>
            <w:vMerge/>
            <w:tcBorders>
              <w:top w:val="nil"/>
              <w:left w:val="single" w:sz="4" w:space="0" w:color="auto"/>
              <w:bottom w:val="single" w:sz="4" w:space="0" w:color="000000"/>
              <w:right w:val="single" w:sz="4" w:space="0" w:color="auto"/>
            </w:tcBorders>
            <w:vAlign w:val="center"/>
            <w:hideMark/>
          </w:tcPr>
          <w:p w:rsidR="000351CA" w:rsidRPr="000351CA" w:rsidRDefault="000351CA" w:rsidP="004E3A11">
            <w:pPr>
              <w:rPr>
                <w:color w:val="000000"/>
              </w:rPr>
            </w:pPr>
          </w:p>
        </w:tc>
      </w:tr>
      <w:tr w:rsidR="000351CA" w:rsidRPr="000351CA" w:rsidTr="004E3A11">
        <w:trPr>
          <w:trHeight w:val="315"/>
        </w:trPr>
        <w:tc>
          <w:tcPr>
            <w:tcW w:w="1640" w:type="dxa"/>
            <w:tcBorders>
              <w:top w:val="nil"/>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rPr>
                <w:b/>
                <w:bCs/>
                <w:color w:val="000000"/>
              </w:rPr>
            </w:pPr>
            <w:r w:rsidRPr="000351CA">
              <w:rPr>
                <w:b/>
                <w:bCs/>
                <w:color w:val="000000"/>
              </w:rPr>
              <w:t>Total</w:t>
            </w:r>
          </w:p>
        </w:tc>
        <w:tc>
          <w:tcPr>
            <w:tcW w:w="1823"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326.351</w:t>
            </w:r>
          </w:p>
        </w:tc>
        <w:tc>
          <w:tcPr>
            <w:tcW w:w="1096"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299.01</w:t>
            </w:r>
          </w:p>
        </w:tc>
        <w:tc>
          <w:tcPr>
            <w:tcW w:w="1116"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299.01</w:t>
            </w:r>
          </w:p>
        </w:tc>
        <w:tc>
          <w:tcPr>
            <w:tcW w:w="4305" w:type="dxa"/>
            <w:vMerge/>
            <w:tcBorders>
              <w:top w:val="nil"/>
              <w:left w:val="single" w:sz="4" w:space="0" w:color="auto"/>
              <w:bottom w:val="single" w:sz="4" w:space="0" w:color="000000"/>
              <w:right w:val="single" w:sz="4" w:space="0" w:color="auto"/>
            </w:tcBorders>
            <w:vAlign w:val="center"/>
            <w:hideMark/>
          </w:tcPr>
          <w:p w:rsidR="000351CA" w:rsidRPr="000351CA" w:rsidRDefault="000351CA" w:rsidP="004E3A11">
            <w:pPr>
              <w:rPr>
                <w:color w:val="000000"/>
              </w:rPr>
            </w:pPr>
          </w:p>
        </w:tc>
      </w:tr>
    </w:tbl>
    <w:p w:rsidR="000351CA" w:rsidRPr="000351CA" w:rsidRDefault="000351CA" w:rsidP="000351CA">
      <w:pPr>
        <w:pStyle w:val="ListParagraph"/>
        <w:spacing w:after="150"/>
        <w:jc w:val="both"/>
        <w:outlineLvl w:val="0"/>
        <w:rPr>
          <w:rFonts w:eastAsia="Times New Roman" w:cs="Arial"/>
          <w:color w:val="040404"/>
          <w:kern w:val="36"/>
        </w:rPr>
      </w:pPr>
    </w:p>
    <w:p w:rsidR="000351CA" w:rsidRPr="000351CA" w:rsidRDefault="000351CA" w:rsidP="000351CA">
      <w:pPr>
        <w:pStyle w:val="ListParagraph"/>
        <w:spacing w:line="360" w:lineRule="auto"/>
        <w:ind w:left="360"/>
        <w:jc w:val="both"/>
        <w:rPr>
          <w:rFonts w:ascii="Cambria" w:hAnsi="Cambria" w:cs="Calibri"/>
          <w:color w:val="232323"/>
          <w:sz w:val="24"/>
          <w:szCs w:val="24"/>
        </w:rPr>
      </w:pPr>
      <w:r w:rsidRPr="000351CA">
        <w:rPr>
          <w:rFonts w:ascii="Cambria" w:hAnsi="Cambria" w:cs="Calibri"/>
          <w:color w:val="232323"/>
          <w:sz w:val="24"/>
          <w:szCs w:val="24"/>
        </w:rPr>
        <w:t>All the balance work are to be completed by Dec’2019.</w:t>
      </w:r>
    </w:p>
    <w:p w:rsidR="000351CA" w:rsidRDefault="000351CA" w:rsidP="000351CA">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bookmarkStart w:id="44" w:name="_Toc25850938"/>
      <w:r w:rsidRPr="000351CA">
        <w:rPr>
          <w:rFonts w:asciiTheme="minorHAnsi" w:hAnsiTheme="minorHAnsi"/>
          <w:smallCaps/>
          <w:color w:val="000000"/>
          <w:sz w:val="22"/>
          <w:szCs w:val="22"/>
        </w:rPr>
        <w:t>Biju Grama Jyoti Yojana (BGJY)</w:t>
      </w:r>
      <w:bookmarkEnd w:id="44"/>
    </w:p>
    <w:p w:rsidR="000351CA" w:rsidRPr="000351CA" w:rsidRDefault="000351CA" w:rsidP="000351CA"/>
    <w:p w:rsidR="000351CA" w:rsidRPr="000351CA" w:rsidRDefault="000351CA" w:rsidP="000351CA">
      <w:pPr>
        <w:pStyle w:val="ListParagraph"/>
        <w:spacing w:line="360" w:lineRule="auto"/>
        <w:ind w:left="360"/>
        <w:jc w:val="both"/>
        <w:rPr>
          <w:rFonts w:ascii="Cambria" w:hAnsi="Cambria" w:cs="Calibri"/>
          <w:color w:val="232323"/>
          <w:sz w:val="24"/>
          <w:szCs w:val="24"/>
        </w:rPr>
      </w:pPr>
      <w:r w:rsidRPr="000351CA">
        <w:rPr>
          <w:rFonts w:ascii="Cambria" w:hAnsi="Cambria" w:cs="Calibri"/>
          <w:color w:val="232323"/>
          <w:sz w:val="24"/>
          <w:szCs w:val="24"/>
        </w:rPr>
        <w:t xml:space="preserve">Biju Grama Jyoti Yojana (BGJY) is being funded by Govt. Of Odisha .Under this scheme habitations having population less than 100 are taken up  for electrification. All the BPL House holds of the  aforesaid habitations and energisation of Private LI Points  are taken up for  electrification. </w:t>
      </w:r>
    </w:p>
    <w:tbl>
      <w:tblPr>
        <w:tblW w:w="10121" w:type="dxa"/>
        <w:tblInd w:w="18" w:type="dxa"/>
        <w:tblLook w:val="04A0"/>
      </w:tblPr>
      <w:tblGrid>
        <w:gridCol w:w="1523"/>
        <w:gridCol w:w="1417"/>
        <w:gridCol w:w="857"/>
        <w:gridCol w:w="857"/>
        <w:gridCol w:w="1417"/>
        <w:gridCol w:w="857"/>
        <w:gridCol w:w="857"/>
        <w:gridCol w:w="1136"/>
        <w:gridCol w:w="1497"/>
        <w:gridCol w:w="1283"/>
      </w:tblGrid>
      <w:tr w:rsidR="000351CA" w:rsidRPr="000351CA" w:rsidTr="004E3A11">
        <w:trPr>
          <w:trHeight w:val="660"/>
        </w:trPr>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351CA" w:rsidRPr="000351CA" w:rsidRDefault="000351CA" w:rsidP="004E3A11">
            <w:pPr>
              <w:jc w:val="center"/>
              <w:rPr>
                <w:b/>
                <w:bCs/>
                <w:color w:val="000000"/>
              </w:rPr>
            </w:pPr>
            <w:r w:rsidRPr="000351CA">
              <w:rPr>
                <w:b/>
                <w:bCs/>
                <w:color w:val="000000"/>
              </w:rPr>
              <w:t>Dist</w:t>
            </w:r>
          </w:p>
        </w:tc>
        <w:tc>
          <w:tcPr>
            <w:tcW w:w="2732" w:type="dxa"/>
            <w:gridSpan w:val="3"/>
            <w:tcBorders>
              <w:top w:val="single" w:sz="4" w:space="0" w:color="000000"/>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b/>
                <w:bCs/>
                <w:color w:val="000000"/>
              </w:rPr>
            </w:pPr>
            <w:r w:rsidRPr="000351CA">
              <w:rPr>
                <w:b/>
                <w:bCs/>
                <w:color w:val="000000"/>
              </w:rPr>
              <w:t>Target</w:t>
            </w:r>
          </w:p>
        </w:tc>
        <w:tc>
          <w:tcPr>
            <w:tcW w:w="2733" w:type="dxa"/>
            <w:gridSpan w:val="3"/>
            <w:tcBorders>
              <w:top w:val="single" w:sz="4" w:space="0" w:color="000000"/>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b/>
                <w:bCs/>
                <w:color w:val="000000"/>
              </w:rPr>
            </w:pPr>
            <w:r w:rsidRPr="000351CA">
              <w:rPr>
                <w:b/>
                <w:bCs/>
                <w:color w:val="000000"/>
              </w:rPr>
              <w:t xml:space="preserve">Achievement </w:t>
            </w:r>
          </w:p>
        </w:tc>
        <w:tc>
          <w:tcPr>
            <w:tcW w:w="9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351CA" w:rsidRPr="000351CA" w:rsidRDefault="000351CA" w:rsidP="004E3A11">
            <w:pPr>
              <w:jc w:val="center"/>
              <w:rPr>
                <w:b/>
                <w:bCs/>
                <w:color w:val="000000"/>
              </w:rPr>
            </w:pPr>
            <w:r w:rsidRPr="000351CA">
              <w:rPr>
                <w:b/>
                <w:bCs/>
                <w:color w:val="000000"/>
              </w:rPr>
              <w:t>Amount Received (Rs. in Cr)</w:t>
            </w:r>
          </w:p>
        </w:tc>
        <w:tc>
          <w:tcPr>
            <w:tcW w:w="126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351CA" w:rsidRPr="000351CA" w:rsidRDefault="000351CA" w:rsidP="004E3A11">
            <w:pPr>
              <w:jc w:val="center"/>
              <w:rPr>
                <w:b/>
                <w:bCs/>
                <w:color w:val="000000"/>
              </w:rPr>
            </w:pPr>
            <w:r w:rsidRPr="000351CA">
              <w:rPr>
                <w:b/>
                <w:bCs/>
                <w:color w:val="000000"/>
              </w:rPr>
              <w:t>Expenditure Incurred in Cr.</w:t>
            </w:r>
          </w:p>
        </w:tc>
        <w:tc>
          <w:tcPr>
            <w:tcW w:w="111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351CA" w:rsidRPr="000351CA" w:rsidRDefault="000351CA" w:rsidP="004E3A11">
            <w:pPr>
              <w:jc w:val="center"/>
              <w:rPr>
                <w:b/>
                <w:bCs/>
                <w:color w:val="000000"/>
              </w:rPr>
            </w:pPr>
            <w:r w:rsidRPr="000351CA">
              <w:rPr>
                <w:b/>
                <w:bCs/>
                <w:color w:val="000000"/>
              </w:rPr>
              <w:t xml:space="preserve">UC Submitted (in Crs.)  </w:t>
            </w:r>
          </w:p>
        </w:tc>
      </w:tr>
      <w:tr w:rsidR="000351CA" w:rsidRPr="000351CA" w:rsidTr="004E3A11">
        <w:trPr>
          <w:trHeight w:val="1170"/>
        </w:trPr>
        <w:tc>
          <w:tcPr>
            <w:tcW w:w="1275" w:type="dxa"/>
            <w:vMerge/>
            <w:tcBorders>
              <w:top w:val="single" w:sz="4" w:space="0" w:color="000000"/>
              <w:left w:val="single" w:sz="4" w:space="0" w:color="000000"/>
              <w:bottom w:val="single" w:sz="4" w:space="0" w:color="000000"/>
              <w:right w:val="single" w:sz="4" w:space="0" w:color="000000"/>
            </w:tcBorders>
            <w:vAlign w:val="center"/>
            <w:hideMark/>
          </w:tcPr>
          <w:p w:rsidR="000351CA" w:rsidRPr="000351CA" w:rsidRDefault="000351CA" w:rsidP="004E3A11">
            <w:pPr>
              <w:rPr>
                <w:b/>
                <w:bCs/>
                <w:color w:val="000000"/>
              </w:rPr>
            </w:pPr>
          </w:p>
        </w:tc>
        <w:tc>
          <w:tcPr>
            <w:tcW w:w="1216"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b/>
                <w:bCs/>
                <w:color w:val="000000"/>
              </w:rPr>
            </w:pPr>
            <w:r w:rsidRPr="000351CA">
              <w:rPr>
                <w:b/>
                <w:bCs/>
                <w:color w:val="000000"/>
              </w:rPr>
              <w:t>Habitations</w:t>
            </w:r>
          </w:p>
        </w:tc>
        <w:tc>
          <w:tcPr>
            <w:tcW w:w="757"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b/>
                <w:bCs/>
                <w:color w:val="000000"/>
              </w:rPr>
            </w:pPr>
            <w:r w:rsidRPr="000351CA">
              <w:rPr>
                <w:b/>
                <w:bCs/>
                <w:color w:val="000000"/>
              </w:rPr>
              <w:t>Pvt. LI Points</w:t>
            </w:r>
          </w:p>
        </w:tc>
        <w:tc>
          <w:tcPr>
            <w:tcW w:w="759"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b/>
                <w:bCs/>
                <w:color w:val="000000"/>
              </w:rPr>
            </w:pPr>
            <w:r w:rsidRPr="000351CA">
              <w:rPr>
                <w:b/>
                <w:bCs/>
                <w:color w:val="000000"/>
              </w:rPr>
              <w:t xml:space="preserve">BPL House holds </w:t>
            </w:r>
          </w:p>
        </w:tc>
        <w:tc>
          <w:tcPr>
            <w:tcW w:w="1217"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b/>
                <w:bCs/>
                <w:color w:val="000000"/>
              </w:rPr>
            </w:pPr>
            <w:r w:rsidRPr="000351CA">
              <w:rPr>
                <w:b/>
                <w:bCs/>
                <w:color w:val="000000"/>
              </w:rPr>
              <w:t>Habitations</w:t>
            </w:r>
          </w:p>
        </w:tc>
        <w:tc>
          <w:tcPr>
            <w:tcW w:w="757"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b/>
                <w:bCs/>
                <w:color w:val="000000"/>
              </w:rPr>
            </w:pPr>
            <w:r w:rsidRPr="000351CA">
              <w:rPr>
                <w:b/>
                <w:bCs/>
                <w:color w:val="000000"/>
              </w:rPr>
              <w:t>Pvt. LI Points</w:t>
            </w:r>
          </w:p>
        </w:tc>
        <w:tc>
          <w:tcPr>
            <w:tcW w:w="759"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b/>
                <w:bCs/>
                <w:color w:val="000000"/>
              </w:rPr>
            </w:pPr>
            <w:r w:rsidRPr="000351CA">
              <w:rPr>
                <w:b/>
                <w:bCs/>
                <w:color w:val="000000"/>
              </w:rPr>
              <w:t xml:space="preserve">BPL House holds </w:t>
            </w:r>
          </w:p>
        </w:tc>
        <w:tc>
          <w:tcPr>
            <w:tcW w:w="996" w:type="dxa"/>
            <w:vMerge/>
            <w:tcBorders>
              <w:top w:val="single" w:sz="4" w:space="0" w:color="000000"/>
              <w:left w:val="single" w:sz="4" w:space="0" w:color="000000"/>
              <w:bottom w:val="single" w:sz="4" w:space="0" w:color="000000"/>
              <w:right w:val="single" w:sz="4" w:space="0" w:color="000000"/>
            </w:tcBorders>
            <w:vAlign w:val="center"/>
            <w:hideMark/>
          </w:tcPr>
          <w:p w:rsidR="000351CA" w:rsidRPr="000351CA" w:rsidRDefault="000351CA" w:rsidP="004E3A11">
            <w:pPr>
              <w:rPr>
                <w:b/>
                <w:bCs/>
                <w:color w:val="000000"/>
              </w:rPr>
            </w:pPr>
          </w:p>
        </w:tc>
        <w:tc>
          <w:tcPr>
            <w:tcW w:w="1266" w:type="dxa"/>
            <w:vMerge/>
            <w:tcBorders>
              <w:top w:val="single" w:sz="4" w:space="0" w:color="000000"/>
              <w:left w:val="single" w:sz="4" w:space="0" w:color="000000"/>
              <w:bottom w:val="single" w:sz="4" w:space="0" w:color="000000"/>
              <w:right w:val="single" w:sz="4" w:space="0" w:color="000000"/>
            </w:tcBorders>
            <w:vAlign w:val="center"/>
            <w:hideMark/>
          </w:tcPr>
          <w:p w:rsidR="000351CA" w:rsidRPr="000351CA" w:rsidRDefault="000351CA" w:rsidP="004E3A11">
            <w:pPr>
              <w:rPr>
                <w:b/>
                <w:bCs/>
                <w:color w:val="000000"/>
              </w:rPr>
            </w:pPr>
          </w:p>
        </w:tc>
        <w:tc>
          <w:tcPr>
            <w:tcW w:w="1119" w:type="dxa"/>
            <w:vMerge/>
            <w:tcBorders>
              <w:top w:val="single" w:sz="4" w:space="0" w:color="000000"/>
              <w:left w:val="single" w:sz="4" w:space="0" w:color="000000"/>
              <w:bottom w:val="single" w:sz="4" w:space="0" w:color="000000"/>
              <w:right w:val="single" w:sz="4" w:space="0" w:color="000000"/>
            </w:tcBorders>
            <w:vAlign w:val="center"/>
            <w:hideMark/>
          </w:tcPr>
          <w:p w:rsidR="000351CA" w:rsidRPr="000351CA" w:rsidRDefault="000351CA" w:rsidP="004E3A11">
            <w:pPr>
              <w:rPr>
                <w:b/>
                <w:bCs/>
                <w:color w:val="000000"/>
              </w:rPr>
            </w:pPr>
          </w:p>
        </w:tc>
      </w:tr>
      <w:tr w:rsidR="000351CA" w:rsidRPr="000351CA" w:rsidTr="004E3A11">
        <w:trPr>
          <w:trHeight w:val="584"/>
        </w:trPr>
        <w:tc>
          <w:tcPr>
            <w:tcW w:w="1275" w:type="dxa"/>
            <w:tcBorders>
              <w:top w:val="nil"/>
              <w:left w:val="single" w:sz="4" w:space="0" w:color="000000"/>
              <w:bottom w:val="single" w:sz="4" w:space="0" w:color="000000"/>
              <w:right w:val="single" w:sz="4" w:space="0" w:color="000000"/>
            </w:tcBorders>
            <w:shd w:val="clear" w:color="auto" w:fill="auto"/>
            <w:vAlign w:val="center"/>
            <w:hideMark/>
          </w:tcPr>
          <w:p w:rsidR="000351CA" w:rsidRPr="000351CA" w:rsidRDefault="000351CA" w:rsidP="004E3A11">
            <w:pPr>
              <w:jc w:val="center"/>
              <w:rPr>
                <w:b/>
                <w:bCs/>
                <w:color w:val="000000"/>
              </w:rPr>
            </w:pPr>
            <w:r w:rsidRPr="000351CA">
              <w:rPr>
                <w:b/>
                <w:bCs/>
                <w:color w:val="000000"/>
              </w:rPr>
              <w:t>Balasore</w:t>
            </w:r>
          </w:p>
        </w:tc>
        <w:tc>
          <w:tcPr>
            <w:tcW w:w="1216"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561</w:t>
            </w:r>
          </w:p>
        </w:tc>
        <w:tc>
          <w:tcPr>
            <w:tcW w:w="757"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880</w:t>
            </w:r>
          </w:p>
        </w:tc>
        <w:tc>
          <w:tcPr>
            <w:tcW w:w="759"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6443</w:t>
            </w:r>
          </w:p>
        </w:tc>
        <w:tc>
          <w:tcPr>
            <w:tcW w:w="1217"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547</w:t>
            </w:r>
          </w:p>
        </w:tc>
        <w:tc>
          <w:tcPr>
            <w:tcW w:w="757"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491</w:t>
            </w:r>
          </w:p>
        </w:tc>
        <w:tc>
          <w:tcPr>
            <w:tcW w:w="759"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6013</w:t>
            </w:r>
          </w:p>
        </w:tc>
        <w:tc>
          <w:tcPr>
            <w:tcW w:w="996"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25.79</w:t>
            </w:r>
          </w:p>
        </w:tc>
        <w:tc>
          <w:tcPr>
            <w:tcW w:w="1266"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14.93</w:t>
            </w:r>
          </w:p>
        </w:tc>
        <w:tc>
          <w:tcPr>
            <w:tcW w:w="1119"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14.15</w:t>
            </w:r>
          </w:p>
        </w:tc>
      </w:tr>
      <w:tr w:rsidR="000351CA" w:rsidRPr="000351CA" w:rsidTr="004E3A11">
        <w:trPr>
          <w:trHeight w:val="408"/>
        </w:trPr>
        <w:tc>
          <w:tcPr>
            <w:tcW w:w="1275" w:type="dxa"/>
            <w:tcBorders>
              <w:top w:val="nil"/>
              <w:left w:val="single" w:sz="4" w:space="0" w:color="000000"/>
              <w:bottom w:val="single" w:sz="4" w:space="0" w:color="000000"/>
              <w:right w:val="single" w:sz="4" w:space="0" w:color="000000"/>
            </w:tcBorders>
            <w:shd w:val="clear" w:color="auto" w:fill="auto"/>
            <w:vAlign w:val="center"/>
            <w:hideMark/>
          </w:tcPr>
          <w:p w:rsidR="000351CA" w:rsidRPr="000351CA" w:rsidRDefault="000351CA" w:rsidP="004E3A11">
            <w:pPr>
              <w:jc w:val="center"/>
              <w:rPr>
                <w:b/>
                <w:bCs/>
                <w:color w:val="000000"/>
              </w:rPr>
            </w:pPr>
            <w:r w:rsidRPr="000351CA">
              <w:rPr>
                <w:b/>
                <w:bCs/>
                <w:color w:val="000000"/>
              </w:rPr>
              <w:t>Bhadrak</w:t>
            </w:r>
          </w:p>
        </w:tc>
        <w:tc>
          <w:tcPr>
            <w:tcW w:w="1216"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592</w:t>
            </w:r>
          </w:p>
        </w:tc>
        <w:tc>
          <w:tcPr>
            <w:tcW w:w="757"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168</w:t>
            </w:r>
          </w:p>
        </w:tc>
        <w:tc>
          <w:tcPr>
            <w:tcW w:w="759"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5600</w:t>
            </w:r>
          </w:p>
        </w:tc>
        <w:tc>
          <w:tcPr>
            <w:tcW w:w="1217"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582</w:t>
            </w:r>
          </w:p>
        </w:tc>
        <w:tc>
          <w:tcPr>
            <w:tcW w:w="757"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104</w:t>
            </w:r>
          </w:p>
        </w:tc>
        <w:tc>
          <w:tcPr>
            <w:tcW w:w="759"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4997</w:t>
            </w:r>
          </w:p>
        </w:tc>
        <w:tc>
          <w:tcPr>
            <w:tcW w:w="996"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25.88</w:t>
            </w:r>
          </w:p>
        </w:tc>
        <w:tc>
          <w:tcPr>
            <w:tcW w:w="1266"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17</w:t>
            </w:r>
          </w:p>
        </w:tc>
        <w:tc>
          <w:tcPr>
            <w:tcW w:w="1119"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16.947</w:t>
            </w:r>
          </w:p>
        </w:tc>
      </w:tr>
      <w:tr w:rsidR="000351CA" w:rsidRPr="000351CA" w:rsidTr="004E3A11">
        <w:trPr>
          <w:trHeight w:val="266"/>
        </w:trPr>
        <w:tc>
          <w:tcPr>
            <w:tcW w:w="1275" w:type="dxa"/>
            <w:tcBorders>
              <w:top w:val="nil"/>
              <w:left w:val="single" w:sz="4" w:space="0" w:color="000000"/>
              <w:bottom w:val="single" w:sz="4" w:space="0" w:color="auto"/>
              <w:right w:val="single" w:sz="4" w:space="0" w:color="000000"/>
            </w:tcBorders>
            <w:shd w:val="clear" w:color="auto" w:fill="auto"/>
            <w:vAlign w:val="center"/>
            <w:hideMark/>
          </w:tcPr>
          <w:p w:rsidR="000351CA" w:rsidRPr="000351CA" w:rsidRDefault="000351CA" w:rsidP="004E3A11">
            <w:pPr>
              <w:jc w:val="center"/>
              <w:rPr>
                <w:b/>
                <w:bCs/>
                <w:color w:val="000000"/>
              </w:rPr>
            </w:pPr>
            <w:r w:rsidRPr="000351CA">
              <w:rPr>
                <w:b/>
                <w:bCs/>
                <w:color w:val="000000"/>
              </w:rPr>
              <w:t>Jajpur</w:t>
            </w:r>
          </w:p>
        </w:tc>
        <w:tc>
          <w:tcPr>
            <w:tcW w:w="1216" w:type="dxa"/>
            <w:tcBorders>
              <w:top w:val="nil"/>
              <w:left w:val="nil"/>
              <w:bottom w:val="single" w:sz="4" w:space="0" w:color="auto"/>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1404</w:t>
            </w:r>
          </w:p>
        </w:tc>
        <w:tc>
          <w:tcPr>
            <w:tcW w:w="757" w:type="dxa"/>
            <w:tcBorders>
              <w:top w:val="nil"/>
              <w:left w:val="nil"/>
              <w:bottom w:val="single" w:sz="4" w:space="0" w:color="auto"/>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35</w:t>
            </w:r>
          </w:p>
        </w:tc>
        <w:tc>
          <w:tcPr>
            <w:tcW w:w="759" w:type="dxa"/>
            <w:tcBorders>
              <w:top w:val="nil"/>
              <w:left w:val="nil"/>
              <w:bottom w:val="single" w:sz="4" w:space="0" w:color="auto"/>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17391</w:t>
            </w:r>
          </w:p>
        </w:tc>
        <w:tc>
          <w:tcPr>
            <w:tcW w:w="1217" w:type="dxa"/>
            <w:tcBorders>
              <w:top w:val="nil"/>
              <w:left w:val="nil"/>
              <w:bottom w:val="single" w:sz="4" w:space="0" w:color="auto"/>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1291</w:t>
            </w:r>
          </w:p>
        </w:tc>
        <w:tc>
          <w:tcPr>
            <w:tcW w:w="757" w:type="dxa"/>
            <w:tcBorders>
              <w:top w:val="nil"/>
              <w:left w:val="nil"/>
              <w:bottom w:val="single" w:sz="4" w:space="0" w:color="auto"/>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35</w:t>
            </w:r>
          </w:p>
        </w:tc>
        <w:tc>
          <w:tcPr>
            <w:tcW w:w="759" w:type="dxa"/>
            <w:tcBorders>
              <w:top w:val="nil"/>
              <w:left w:val="nil"/>
              <w:bottom w:val="single" w:sz="4" w:space="0" w:color="auto"/>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13113</w:t>
            </w:r>
          </w:p>
        </w:tc>
        <w:tc>
          <w:tcPr>
            <w:tcW w:w="996" w:type="dxa"/>
            <w:tcBorders>
              <w:top w:val="nil"/>
              <w:left w:val="nil"/>
              <w:bottom w:val="single" w:sz="4" w:space="0" w:color="auto"/>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50.85</w:t>
            </w:r>
          </w:p>
        </w:tc>
        <w:tc>
          <w:tcPr>
            <w:tcW w:w="1266" w:type="dxa"/>
            <w:tcBorders>
              <w:top w:val="nil"/>
              <w:left w:val="nil"/>
              <w:bottom w:val="single" w:sz="4" w:space="0" w:color="auto"/>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45.19</w:t>
            </w:r>
          </w:p>
        </w:tc>
        <w:tc>
          <w:tcPr>
            <w:tcW w:w="1119" w:type="dxa"/>
            <w:tcBorders>
              <w:top w:val="nil"/>
              <w:left w:val="nil"/>
              <w:bottom w:val="single" w:sz="4" w:space="0" w:color="auto"/>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45.19</w:t>
            </w:r>
          </w:p>
        </w:tc>
      </w:tr>
      <w:tr w:rsidR="000351CA" w:rsidRPr="000351CA" w:rsidTr="004E3A11">
        <w:trPr>
          <w:trHeight w:val="408"/>
        </w:trPr>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lastRenderedPageBreak/>
              <w:t>Keonjhar</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933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65</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14713</w:t>
            </w:r>
          </w:p>
        </w:tc>
        <w:tc>
          <w:tcPr>
            <w:tcW w:w="12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832</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65</w:t>
            </w: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13275</w:t>
            </w:r>
          </w:p>
        </w:tc>
        <w:tc>
          <w:tcPr>
            <w:tcW w:w="9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32.63</w:t>
            </w:r>
          </w:p>
        </w:tc>
        <w:tc>
          <w:tcPr>
            <w:tcW w:w="12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27</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22.442</w:t>
            </w:r>
          </w:p>
        </w:tc>
      </w:tr>
      <w:tr w:rsidR="000351CA" w:rsidRPr="000351CA" w:rsidTr="004E3A11">
        <w:trPr>
          <w:trHeight w:val="408"/>
        </w:trPr>
        <w:tc>
          <w:tcPr>
            <w:tcW w:w="1275" w:type="dxa"/>
            <w:tcBorders>
              <w:top w:val="single" w:sz="4" w:space="0" w:color="auto"/>
              <w:left w:val="single" w:sz="4" w:space="0" w:color="000000"/>
              <w:bottom w:val="single" w:sz="4" w:space="0" w:color="000000"/>
              <w:right w:val="single" w:sz="4" w:space="0" w:color="000000"/>
            </w:tcBorders>
            <w:shd w:val="clear" w:color="auto" w:fill="auto"/>
            <w:vAlign w:val="center"/>
            <w:hideMark/>
          </w:tcPr>
          <w:p w:rsidR="000351CA" w:rsidRPr="000351CA" w:rsidRDefault="000351CA" w:rsidP="004E3A11">
            <w:pPr>
              <w:jc w:val="center"/>
              <w:rPr>
                <w:b/>
                <w:bCs/>
                <w:color w:val="000000"/>
              </w:rPr>
            </w:pPr>
            <w:r w:rsidRPr="000351CA">
              <w:rPr>
                <w:b/>
                <w:bCs/>
                <w:color w:val="000000"/>
              </w:rPr>
              <w:t>Mayurbhanj</w:t>
            </w:r>
          </w:p>
        </w:tc>
        <w:tc>
          <w:tcPr>
            <w:tcW w:w="1216" w:type="dxa"/>
            <w:tcBorders>
              <w:top w:val="single" w:sz="4" w:space="0" w:color="auto"/>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1278</w:t>
            </w:r>
          </w:p>
        </w:tc>
        <w:tc>
          <w:tcPr>
            <w:tcW w:w="757" w:type="dxa"/>
            <w:tcBorders>
              <w:top w:val="single" w:sz="4" w:space="0" w:color="auto"/>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202</w:t>
            </w:r>
          </w:p>
        </w:tc>
        <w:tc>
          <w:tcPr>
            <w:tcW w:w="759" w:type="dxa"/>
            <w:tcBorders>
              <w:top w:val="single" w:sz="4" w:space="0" w:color="auto"/>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24186</w:t>
            </w:r>
          </w:p>
        </w:tc>
        <w:tc>
          <w:tcPr>
            <w:tcW w:w="1217" w:type="dxa"/>
            <w:tcBorders>
              <w:top w:val="single" w:sz="4" w:space="0" w:color="auto"/>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1214</w:t>
            </w:r>
          </w:p>
        </w:tc>
        <w:tc>
          <w:tcPr>
            <w:tcW w:w="757" w:type="dxa"/>
            <w:tcBorders>
              <w:top w:val="single" w:sz="4" w:space="0" w:color="auto"/>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195</w:t>
            </w:r>
          </w:p>
        </w:tc>
        <w:tc>
          <w:tcPr>
            <w:tcW w:w="759" w:type="dxa"/>
            <w:tcBorders>
              <w:top w:val="single" w:sz="4" w:space="0" w:color="auto"/>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24218</w:t>
            </w:r>
          </w:p>
        </w:tc>
        <w:tc>
          <w:tcPr>
            <w:tcW w:w="996" w:type="dxa"/>
            <w:tcBorders>
              <w:top w:val="single" w:sz="4" w:space="0" w:color="auto"/>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46.75</w:t>
            </w:r>
          </w:p>
        </w:tc>
        <w:tc>
          <w:tcPr>
            <w:tcW w:w="1266" w:type="dxa"/>
            <w:tcBorders>
              <w:top w:val="single" w:sz="4" w:space="0" w:color="auto"/>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41</w:t>
            </w:r>
          </w:p>
        </w:tc>
        <w:tc>
          <w:tcPr>
            <w:tcW w:w="1119" w:type="dxa"/>
            <w:tcBorders>
              <w:top w:val="single" w:sz="4" w:space="0" w:color="auto"/>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color w:val="000000"/>
              </w:rPr>
            </w:pPr>
            <w:r w:rsidRPr="000351CA">
              <w:rPr>
                <w:color w:val="000000"/>
              </w:rPr>
              <w:t>41</w:t>
            </w:r>
          </w:p>
        </w:tc>
      </w:tr>
      <w:tr w:rsidR="000351CA" w:rsidRPr="000351CA" w:rsidTr="004E3A11">
        <w:trPr>
          <w:trHeight w:val="430"/>
        </w:trPr>
        <w:tc>
          <w:tcPr>
            <w:tcW w:w="1275" w:type="dxa"/>
            <w:tcBorders>
              <w:top w:val="nil"/>
              <w:left w:val="single" w:sz="4" w:space="0" w:color="000000"/>
              <w:bottom w:val="single" w:sz="4" w:space="0" w:color="000000"/>
              <w:right w:val="single" w:sz="4" w:space="0" w:color="000000"/>
            </w:tcBorders>
            <w:shd w:val="clear" w:color="auto" w:fill="auto"/>
            <w:vAlign w:val="center"/>
            <w:hideMark/>
          </w:tcPr>
          <w:p w:rsidR="000351CA" w:rsidRPr="000351CA" w:rsidRDefault="000351CA" w:rsidP="004E3A11">
            <w:pPr>
              <w:jc w:val="center"/>
              <w:rPr>
                <w:b/>
                <w:bCs/>
                <w:color w:val="000000"/>
              </w:rPr>
            </w:pPr>
            <w:r w:rsidRPr="000351CA">
              <w:rPr>
                <w:b/>
                <w:bCs/>
                <w:color w:val="000000"/>
              </w:rPr>
              <w:t>Total</w:t>
            </w:r>
          </w:p>
        </w:tc>
        <w:tc>
          <w:tcPr>
            <w:tcW w:w="1216"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b/>
                <w:bCs/>
                <w:color w:val="000000"/>
              </w:rPr>
            </w:pPr>
            <w:r w:rsidRPr="000351CA">
              <w:rPr>
                <w:b/>
                <w:bCs/>
                <w:color w:val="000000"/>
              </w:rPr>
              <w:t>4768</w:t>
            </w:r>
          </w:p>
        </w:tc>
        <w:tc>
          <w:tcPr>
            <w:tcW w:w="757"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b/>
                <w:bCs/>
                <w:color w:val="000000"/>
              </w:rPr>
            </w:pPr>
            <w:r w:rsidRPr="000351CA">
              <w:rPr>
                <w:b/>
                <w:bCs/>
                <w:color w:val="000000"/>
              </w:rPr>
              <w:t>1350</w:t>
            </w:r>
          </w:p>
        </w:tc>
        <w:tc>
          <w:tcPr>
            <w:tcW w:w="759"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b/>
                <w:bCs/>
                <w:color w:val="000000"/>
              </w:rPr>
            </w:pPr>
            <w:r w:rsidRPr="000351CA">
              <w:rPr>
                <w:b/>
                <w:bCs/>
                <w:color w:val="000000"/>
              </w:rPr>
              <w:t>68333</w:t>
            </w:r>
          </w:p>
        </w:tc>
        <w:tc>
          <w:tcPr>
            <w:tcW w:w="1217"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b/>
                <w:bCs/>
                <w:color w:val="000000"/>
              </w:rPr>
            </w:pPr>
            <w:r w:rsidRPr="000351CA">
              <w:rPr>
                <w:b/>
                <w:bCs/>
                <w:color w:val="000000"/>
              </w:rPr>
              <w:t>4466</w:t>
            </w:r>
          </w:p>
        </w:tc>
        <w:tc>
          <w:tcPr>
            <w:tcW w:w="757"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b/>
                <w:bCs/>
                <w:color w:val="000000"/>
              </w:rPr>
            </w:pPr>
            <w:r w:rsidRPr="000351CA">
              <w:rPr>
                <w:b/>
                <w:bCs/>
                <w:color w:val="000000"/>
              </w:rPr>
              <w:t>890</w:t>
            </w:r>
          </w:p>
        </w:tc>
        <w:tc>
          <w:tcPr>
            <w:tcW w:w="759"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b/>
                <w:bCs/>
                <w:color w:val="000000"/>
              </w:rPr>
            </w:pPr>
            <w:r w:rsidRPr="000351CA">
              <w:rPr>
                <w:b/>
                <w:bCs/>
                <w:color w:val="000000"/>
              </w:rPr>
              <w:t>61616</w:t>
            </w:r>
          </w:p>
        </w:tc>
        <w:tc>
          <w:tcPr>
            <w:tcW w:w="996"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b/>
                <w:bCs/>
                <w:color w:val="000000"/>
              </w:rPr>
            </w:pPr>
            <w:r w:rsidRPr="000351CA">
              <w:rPr>
                <w:b/>
                <w:bCs/>
                <w:color w:val="000000"/>
              </w:rPr>
              <w:t>181.9</w:t>
            </w:r>
          </w:p>
        </w:tc>
        <w:tc>
          <w:tcPr>
            <w:tcW w:w="1266"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b/>
                <w:bCs/>
                <w:color w:val="000000"/>
              </w:rPr>
            </w:pPr>
            <w:r w:rsidRPr="000351CA">
              <w:rPr>
                <w:b/>
                <w:bCs/>
                <w:color w:val="000000"/>
              </w:rPr>
              <w:t>145.12</w:t>
            </w:r>
          </w:p>
        </w:tc>
        <w:tc>
          <w:tcPr>
            <w:tcW w:w="1119" w:type="dxa"/>
            <w:tcBorders>
              <w:top w:val="nil"/>
              <w:left w:val="nil"/>
              <w:bottom w:val="single" w:sz="4" w:space="0" w:color="000000"/>
              <w:right w:val="single" w:sz="4" w:space="0" w:color="000000"/>
            </w:tcBorders>
            <w:shd w:val="clear" w:color="auto" w:fill="auto"/>
            <w:vAlign w:val="center"/>
            <w:hideMark/>
          </w:tcPr>
          <w:p w:rsidR="000351CA" w:rsidRPr="000351CA" w:rsidRDefault="000351CA" w:rsidP="004E3A11">
            <w:pPr>
              <w:jc w:val="center"/>
              <w:rPr>
                <w:b/>
                <w:bCs/>
                <w:color w:val="000000"/>
              </w:rPr>
            </w:pPr>
            <w:r w:rsidRPr="000351CA">
              <w:rPr>
                <w:b/>
                <w:bCs/>
                <w:color w:val="000000"/>
              </w:rPr>
              <w:t>139.729</w:t>
            </w:r>
          </w:p>
        </w:tc>
      </w:tr>
    </w:tbl>
    <w:p w:rsidR="000351CA" w:rsidRPr="000351CA" w:rsidRDefault="000351CA" w:rsidP="000351CA">
      <w:pPr>
        <w:jc w:val="both"/>
        <w:rPr>
          <w:rFonts w:cs="Arial"/>
          <w:bCs/>
          <w:color w:val="232323"/>
        </w:rPr>
      </w:pPr>
    </w:p>
    <w:p w:rsidR="000351CA" w:rsidRPr="000351CA" w:rsidRDefault="000351CA" w:rsidP="000351CA">
      <w:pPr>
        <w:pStyle w:val="ListParagraph"/>
        <w:spacing w:line="360" w:lineRule="auto"/>
        <w:ind w:left="360"/>
        <w:jc w:val="both"/>
        <w:rPr>
          <w:rFonts w:ascii="Cambria" w:hAnsi="Cambria" w:cs="Calibri"/>
          <w:color w:val="232323"/>
          <w:sz w:val="24"/>
          <w:szCs w:val="24"/>
        </w:rPr>
      </w:pPr>
      <w:r w:rsidRPr="000351CA">
        <w:rPr>
          <w:rFonts w:ascii="Cambria" w:hAnsi="Cambria" w:cs="Calibri"/>
          <w:color w:val="232323"/>
          <w:sz w:val="24"/>
          <w:szCs w:val="24"/>
        </w:rPr>
        <w:t>Electrification of balance habitations  have been executed under Saubhagya scheme. As per the decision of Govt.(letter no. 9575 dtd. 7.12.2017), System  Improvement works will be taken up with the available funds.</w:t>
      </w:r>
    </w:p>
    <w:p w:rsidR="000351CA" w:rsidRPr="000351CA" w:rsidRDefault="000351CA" w:rsidP="000351CA">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bookmarkStart w:id="45" w:name="_Toc25850939"/>
      <w:r w:rsidRPr="000351CA">
        <w:rPr>
          <w:rFonts w:asciiTheme="minorHAnsi" w:hAnsiTheme="minorHAnsi"/>
          <w:smallCaps/>
          <w:color w:val="000000"/>
          <w:sz w:val="22"/>
          <w:szCs w:val="22"/>
        </w:rPr>
        <w:t>Biju Sahanchal Vidyut karan Yojana (BSVY)</w:t>
      </w:r>
      <w:bookmarkEnd w:id="45"/>
      <w:r w:rsidRPr="000351CA">
        <w:rPr>
          <w:rFonts w:asciiTheme="minorHAnsi" w:hAnsiTheme="minorHAnsi"/>
          <w:smallCaps/>
          <w:color w:val="000000"/>
          <w:sz w:val="22"/>
          <w:szCs w:val="22"/>
        </w:rPr>
        <w:t xml:space="preserve"> </w:t>
      </w:r>
    </w:p>
    <w:p w:rsidR="000351CA" w:rsidRDefault="000351CA" w:rsidP="000351CA">
      <w:pPr>
        <w:pStyle w:val="ListParagraph"/>
        <w:spacing w:line="360" w:lineRule="auto"/>
        <w:ind w:left="360"/>
        <w:jc w:val="both"/>
        <w:rPr>
          <w:rFonts w:ascii="Cambria" w:hAnsi="Cambria" w:cs="Calibri"/>
          <w:color w:val="232323"/>
          <w:sz w:val="24"/>
          <w:szCs w:val="24"/>
        </w:rPr>
      </w:pPr>
    </w:p>
    <w:p w:rsidR="000351CA" w:rsidRPr="000351CA" w:rsidRDefault="000351CA" w:rsidP="000351CA">
      <w:pPr>
        <w:pStyle w:val="ListParagraph"/>
        <w:spacing w:line="360" w:lineRule="auto"/>
        <w:ind w:left="360"/>
        <w:jc w:val="both"/>
        <w:rPr>
          <w:rFonts w:ascii="Cambria" w:hAnsi="Cambria" w:cs="Calibri"/>
          <w:color w:val="232323"/>
          <w:sz w:val="24"/>
          <w:szCs w:val="24"/>
        </w:rPr>
      </w:pPr>
      <w:r w:rsidRPr="000351CA">
        <w:rPr>
          <w:rFonts w:ascii="Cambria" w:hAnsi="Cambria" w:cs="Calibri"/>
          <w:color w:val="232323"/>
          <w:sz w:val="24"/>
          <w:szCs w:val="24"/>
        </w:rPr>
        <w:t>Biju Sahanchal Vidyut karan Yojana is being funded by Govt. Of Odisha .Under this scheme electrification of habitations having population less than 100 in urban areas i.e (mu</w:t>
      </w:r>
      <w:r w:rsidR="00AF562A">
        <w:rPr>
          <w:rFonts w:ascii="Cambria" w:hAnsi="Cambria" w:cs="Calibri"/>
          <w:color w:val="232323"/>
          <w:sz w:val="24"/>
          <w:szCs w:val="24"/>
        </w:rPr>
        <w:t>nicipality &amp; NA</w:t>
      </w:r>
      <w:r w:rsidRPr="000351CA">
        <w:rPr>
          <w:rFonts w:ascii="Cambria" w:hAnsi="Cambria" w:cs="Calibri"/>
          <w:color w:val="232323"/>
          <w:sz w:val="24"/>
          <w:szCs w:val="24"/>
        </w:rPr>
        <w:t>C) and BPL Households of those habitations are taken up.</w:t>
      </w:r>
    </w:p>
    <w:tbl>
      <w:tblPr>
        <w:tblW w:w="10005" w:type="dxa"/>
        <w:tblInd w:w="93" w:type="dxa"/>
        <w:tblLayout w:type="fixed"/>
        <w:tblLook w:val="04A0"/>
      </w:tblPr>
      <w:tblGrid>
        <w:gridCol w:w="1185"/>
        <w:gridCol w:w="1080"/>
        <w:gridCol w:w="1260"/>
        <w:gridCol w:w="1260"/>
        <w:gridCol w:w="1260"/>
        <w:gridCol w:w="1350"/>
        <w:gridCol w:w="1350"/>
        <w:gridCol w:w="1260"/>
      </w:tblGrid>
      <w:tr w:rsidR="000351CA" w:rsidRPr="000351CA" w:rsidTr="004E3A11">
        <w:trPr>
          <w:trHeight w:val="720"/>
        </w:trPr>
        <w:tc>
          <w:tcPr>
            <w:tcW w:w="11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Dist</w:t>
            </w:r>
          </w:p>
        </w:tc>
        <w:tc>
          <w:tcPr>
            <w:tcW w:w="2340" w:type="dxa"/>
            <w:gridSpan w:val="2"/>
            <w:tcBorders>
              <w:top w:val="single" w:sz="4" w:space="0" w:color="auto"/>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Target</w:t>
            </w:r>
          </w:p>
        </w:tc>
        <w:tc>
          <w:tcPr>
            <w:tcW w:w="2520" w:type="dxa"/>
            <w:gridSpan w:val="2"/>
            <w:tcBorders>
              <w:top w:val="single" w:sz="4" w:space="0" w:color="auto"/>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 xml:space="preserve">Achieved </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 xml:space="preserve">Amount Received (Rs. In Cr) </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 xml:space="preserve">Expenditure Incurred (Rs. In Cr) </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 xml:space="preserve">UC Submitted (in Cr.) </w:t>
            </w:r>
          </w:p>
        </w:tc>
      </w:tr>
      <w:tr w:rsidR="000351CA" w:rsidRPr="000351CA" w:rsidTr="004E3A11">
        <w:trPr>
          <w:trHeight w:val="900"/>
        </w:trPr>
        <w:tc>
          <w:tcPr>
            <w:tcW w:w="1185" w:type="dxa"/>
            <w:vMerge/>
            <w:tcBorders>
              <w:top w:val="single" w:sz="4" w:space="0" w:color="auto"/>
              <w:left w:val="single" w:sz="4" w:space="0" w:color="auto"/>
              <w:bottom w:val="single" w:sz="4" w:space="0" w:color="auto"/>
              <w:right w:val="single" w:sz="4" w:space="0" w:color="auto"/>
            </w:tcBorders>
            <w:vAlign w:val="center"/>
            <w:hideMark/>
          </w:tcPr>
          <w:p w:rsidR="000351CA" w:rsidRPr="000351CA" w:rsidRDefault="000351CA" w:rsidP="004E3A11">
            <w:pPr>
              <w:rPr>
                <w:b/>
                <w:bCs/>
                <w:color w:val="000000"/>
              </w:rPr>
            </w:pPr>
          </w:p>
        </w:tc>
        <w:tc>
          <w:tcPr>
            <w:tcW w:w="108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Habitations</w:t>
            </w:r>
          </w:p>
        </w:tc>
        <w:tc>
          <w:tcPr>
            <w:tcW w:w="126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BPL House Holds</w:t>
            </w:r>
          </w:p>
        </w:tc>
        <w:tc>
          <w:tcPr>
            <w:tcW w:w="126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Habitations</w:t>
            </w:r>
          </w:p>
        </w:tc>
        <w:tc>
          <w:tcPr>
            <w:tcW w:w="126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BPL House Holds</w:t>
            </w: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0351CA" w:rsidRPr="000351CA" w:rsidRDefault="000351CA" w:rsidP="004E3A11">
            <w:pPr>
              <w:rPr>
                <w:b/>
                <w:bCs/>
                <w:color w:val="000000"/>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0351CA" w:rsidRPr="000351CA" w:rsidRDefault="000351CA" w:rsidP="004E3A11">
            <w:pPr>
              <w:rPr>
                <w:b/>
                <w:bCs/>
                <w:color w:val="000000"/>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0351CA" w:rsidRPr="000351CA" w:rsidRDefault="000351CA" w:rsidP="004E3A11">
            <w:pPr>
              <w:rPr>
                <w:b/>
                <w:bCs/>
                <w:color w:val="000000"/>
              </w:rPr>
            </w:pPr>
          </w:p>
        </w:tc>
      </w:tr>
      <w:tr w:rsidR="000351CA" w:rsidRPr="000351CA" w:rsidTr="004E3A11">
        <w:trPr>
          <w:trHeight w:val="540"/>
        </w:trPr>
        <w:tc>
          <w:tcPr>
            <w:tcW w:w="1185" w:type="dxa"/>
            <w:tcBorders>
              <w:top w:val="nil"/>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Balasore</w:t>
            </w:r>
          </w:p>
        </w:tc>
        <w:tc>
          <w:tcPr>
            <w:tcW w:w="108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128</w:t>
            </w:r>
          </w:p>
        </w:tc>
        <w:tc>
          <w:tcPr>
            <w:tcW w:w="126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1377</w:t>
            </w:r>
          </w:p>
        </w:tc>
        <w:tc>
          <w:tcPr>
            <w:tcW w:w="126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97</w:t>
            </w:r>
          </w:p>
        </w:tc>
        <w:tc>
          <w:tcPr>
            <w:tcW w:w="126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1099</w:t>
            </w:r>
          </w:p>
        </w:tc>
        <w:tc>
          <w:tcPr>
            <w:tcW w:w="135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1.623</w:t>
            </w:r>
          </w:p>
        </w:tc>
        <w:tc>
          <w:tcPr>
            <w:tcW w:w="135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1.604</w:t>
            </w:r>
          </w:p>
        </w:tc>
        <w:tc>
          <w:tcPr>
            <w:tcW w:w="126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1.3740</w:t>
            </w:r>
          </w:p>
        </w:tc>
      </w:tr>
      <w:tr w:rsidR="000351CA" w:rsidRPr="000351CA" w:rsidTr="004E3A11">
        <w:trPr>
          <w:trHeight w:val="540"/>
        </w:trPr>
        <w:tc>
          <w:tcPr>
            <w:tcW w:w="1185" w:type="dxa"/>
            <w:tcBorders>
              <w:top w:val="nil"/>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Bhadrak</w:t>
            </w:r>
          </w:p>
        </w:tc>
        <w:tc>
          <w:tcPr>
            <w:tcW w:w="108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123</w:t>
            </w:r>
          </w:p>
        </w:tc>
        <w:tc>
          <w:tcPr>
            <w:tcW w:w="126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1350</w:t>
            </w:r>
          </w:p>
        </w:tc>
        <w:tc>
          <w:tcPr>
            <w:tcW w:w="126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123</w:t>
            </w:r>
          </w:p>
        </w:tc>
        <w:tc>
          <w:tcPr>
            <w:tcW w:w="126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1140</w:t>
            </w:r>
          </w:p>
        </w:tc>
        <w:tc>
          <w:tcPr>
            <w:tcW w:w="135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4.383</w:t>
            </w:r>
          </w:p>
        </w:tc>
        <w:tc>
          <w:tcPr>
            <w:tcW w:w="135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2.577</w:t>
            </w:r>
          </w:p>
        </w:tc>
        <w:tc>
          <w:tcPr>
            <w:tcW w:w="126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2.577</w:t>
            </w:r>
          </w:p>
        </w:tc>
      </w:tr>
      <w:tr w:rsidR="000351CA" w:rsidRPr="000351CA" w:rsidTr="004E3A11">
        <w:trPr>
          <w:trHeight w:val="540"/>
        </w:trPr>
        <w:tc>
          <w:tcPr>
            <w:tcW w:w="1185" w:type="dxa"/>
            <w:tcBorders>
              <w:top w:val="nil"/>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Jajpur</w:t>
            </w:r>
          </w:p>
        </w:tc>
        <w:tc>
          <w:tcPr>
            <w:tcW w:w="108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190</w:t>
            </w:r>
          </w:p>
        </w:tc>
        <w:tc>
          <w:tcPr>
            <w:tcW w:w="126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2112</w:t>
            </w:r>
          </w:p>
        </w:tc>
        <w:tc>
          <w:tcPr>
            <w:tcW w:w="126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182</w:t>
            </w:r>
          </w:p>
        </w:tc>
        <w:tc>
          <w:tcPr>
            <w:tcW w:w="126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2108</w:t>
            </w:r>
          </w:p>
        </w:tc>
        <w:tc>
          <w:tcPr>
            <w:tcW w:w="135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6.740</w:t>
            </w:r>
          </w:p>
        </w:tc>
        <w:tc>
          <w:tcPr>
            <w:tcW w:w="135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6.74</w:t>
            </w:r>
          </w:p>
        </w:tc>
        <w:tc>
          <w:tcPr>
            <w:tcW w:w="126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6.7380</w:t>
            </w:r>
          </w:p>
        </w:tc>
      </w:tr>
      <w:tr w:rsidR="000351CA" w:rsidRPr="000351CA" w:rsidTr="004E3A11">
        <w:trPr>
          <w:trHeight w:val="540"/>
        </w:trPr>
        <w:tc>
          <w:tcPr>
            <w:tcW w:w="1185" w:type="dxa"/>
            <w:tcBorders>
              <w:top w:val="nil"/>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Keonjhar</w:t>
            </w:r>
          </w:p>
        </w:tc>
        <w:tc>
          <w:tcPr>
            <w:tcW w:w="108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134</w:t>
            </w:r>
          </w:p>
        </w:tc>
        <w:tc>
          <w:tcPr>
            <w:tcW w:w="126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3578</w:t>
            </w:r>
          </w:p>
        </w:tc>
        <w:tc>
          <w:tcPr>
            <w:tcW w:w="126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127</w:t>
            </w:r>
          </w:p>
        </w:tc>
        <w:tc>
          <w:tcPr>
            <w:tcW w:w="126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3578</w:t>
            </w:r>
          </w:p>
        </w:tc>
        <w:tc>
          <w:tcPr>
            <w:tcW w:w="135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11.620</w:t>
            </w:r>
          </w:p>
        </w:tc>
        <w:tc>
          <w:tcPr>
            <w:tcW w:w="135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5.114</w:t>
            </w:r>
          </w:p>
        </w:tc>
        <w:tc>
          <w:tcPr>
            <w:tcW w:w="126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4.2570</w:t>
            </w:r>
          </w:p>
        </w:tc>
      </w:tr>
      <w:tr w:rsidR="000351CA" w:rsidRPr="000351CA" w:rsidTr="004E3A11">
        <w:trPr>
          <w:trHeight w:val="540"/>
        </w:trPr>
        <w:tc>
          <w:tcPr>
            <w:tcW w:w="1185" w:type="dxa"/>
            <w:tcBorders>
              <w:top w:val="nil"/>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Mayurbhanj</w:t>
            </w:r>
          </w:p>
        </w:tc>
        <w:tc>
          <w:tcPr>
            <w:tcW w:w="108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140</w:t>
            </w:r>
          </w:p>
        </w:tc>
        <w:tc>
          <w:tcPr>
            <w:tcW w:w="126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3419</w:t>
            </w:r>
          </w:p>
        </w:tc>
        <w:tc>
          <w:tcPr>
            <w:tcW w:w="126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125</w:t>
            </w:r>
          </w:p>
        </w:tc>
        <w:tc>
          <w:tcPr>
            <w:tcW w:w="126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2271</w:t>
            </w:r>
          </w:p>
        </w:tc>
        <w:tc>
          <w:tcPr>
            <w:tcW w:w="135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4.879</w:t>
            </w:r>
          </w:p>
        </w:tc>
        <w:tc>
          <w:tcPr>
            <w:tcW w:w="135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4.07</w:t>
            </w:r>
          </w:p>
        </w:tc>
        <w:tc>
          <w:tcPr>
            <w:tcW w:w="126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color w:val="000000"/>
              </w:rPr>
            </w:pPr>
            <w:r w:rsidRPr="000351CA">
              <w:rPr>
                <w:color w:val="000000"/>
              </w:rPr>
              <w:t>3.9450</w:t>
            </w:r>
          </w:p>
        </w:tc>
      </w:tr>
      <w:tr w:rsidR="000351CA" w:rsidRPr="000351CA" w:rsidTr="004E3A11">
        <w:trPr>
          <w:trHeight w:val="540"/>
        </w:trPr>
        <w:tc>
          <w:tcPr>
            <w:tcW w:w="1185" w:type="dxa"/>
            <w:tcBorders>
              <w:top w:val="nil"/>
              <w:left w:val="single" w:sz="4" w:space="0" w:color="auto"/>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Total</w:t>
            </w:r>
          </w:p>
        </w:tc>
        <w:tc>
          <w:tcPr>
            <w:tcW w:w="108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715</w:t>
            </w:r>
          </w:p>
        </w:tc>
        <w:tc>
          <w:tcPr>
            <w:tcW w:w="126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11836</w:t>
            </w:r>
          </w:p>
        </w:tc>
        <w:tc>
          <w:tcPr>
            <w:tcW w:w="126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654</w:t>
            </w:r>
          </w:p>
        </w:tc>
        <w:tc>
          <w:tcPr>
            <w:tcW w:w="126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10196</w:t>
            </w:r>
          </w:p>
        </w:tc>
        <w:tc>
          <w:tcPr>
            <w:tcW w:w="135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29.245</w:t>
            </w:r>
          </w:p>
        </w:tc>
        <w:tc>
          <w:tcPr>
            <w:tcW w:w="135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20.105</w:t>
            </w:r>
          </w:p>
        </w:tc>
        <w:tc>
          <w:tcPr>
            <w:tcW w:w="1260" w:type="dxa"/>
            <w:tcBorders>
              <w:top w:val="nil"/>
              <w:left w:val="nil"/>
              <w:bottom w:val="single" w:sz="4" w:space="0" w:color="auto"/>
              <w:right w:val="single" w:sz="4" w:space="0" w:color="auto"/>
            </w:tcBorders>
            <w:shd w:val="clear" w:color="auto" w:fill="auto"/>
            <w:vAlign w:val="center"/>
            <w:hideMark/>
          </w:tcPr>
          <w:p w:rsidR="000351CA" w:rsidRPr="000351CA" w:rsidRDefault="000351CA" w:rsidP="004E3A11">
            <w:pPr>
              <w:jc w:val="center"/>
              <w:rPr>
                <w:b/>
                <w:bCs/>
                <w:color w:val="000000"/>
              </w:rPr>
            </w:pPr>
            <w:r w:rsidRPr="000351CA">
              <w:rPr>
                <w:b/>
                <w:bCs/>
                <w:color w:val="000000"/>
              </w:rPr>
              <w:t>18.891</w:t>
            </w:r>
          </w:p>
        </w:tc>
      </w:tr>
    </w:tbl>
    <w:p w:rsidR="000351CA" w:rsidRPr="000351CA" w:rsidRDefault="000351CA" w:rsidP="000351CA">
      <w:pPr>
        <w:jc w:val="both"/>
        <w:rPr>
          <w:rFonts w:cs="Arial"/>
          <w:bCs/>
          <w:color w:val="232323"/>
        </w:rPr>
      </w:pPr>
    </w:p>
    <w:p w:rsidR="000351CA" w:rsidRPr="00AF562A" w:rsidRDefault="000351CA" w:rsidP="00AF562A">
      <w:pPr>
        <w:pStyle w:val="ListParagraph"/>
        <w:spacing w:line="360" w:lineRule="auto"/>
        <w:ind w:left="360"/>
        <w:jc w:val="both"/>
        <w:rPr>
          <w:rFonts w:ascii="Cambria" w:hAnsi="Cambria" w:cs="Calibri"/>
          <w:color w:val="232323"/>
          <w:sz w:val="24"/>
          <w:szCs w:val="24"/>
        </w:rPr>
      </w:pPr>
      <w:r w:rsidRPr="00AF562A">
        <w:rPr>
          <w:rFonts w:ascii="Cambria" w:hAnsi="Cambria" w:cs="Calibri"/>
          <w:color w:val="232323"/>
          <w:sz w:val="24"/>
          <w:szCs w:val="24"/>
        </w:rPr>
        <w:t>Electrification of balance habitations  have been executed under Saubhagya scheme. As per the decision of Govt.(letter no. 9575 dtd. 7.12.2017), System  Improvement works will be taken up with the available funds.</w:t>
      </w:r>
    </w:p>
    <w:p w:rsidR="000351CA" w:rsidRDefault="000351CA" w:rsidP="000351CA">
      <w:pPr>
        <w:pStyle w:val="ListParagraph"/>
        <w:ind w:left="786"/>
        <w:jc w:val="both"/>
        <w:rPr>
          <w:rFonts w:eastAsia="Times New Roman" w:cs="Arial"/>
          <w:b/>
          <w:bCs/>
          <w:color w:val="232323"/>
          <w:u w:val="single"/>
        </w:rPr>
      </w:pPr>
    </w:p>
    <w:p w:rsidR="00AF562A" w:rsidRDefault="00AF562A" w:rsidP="000351CA">
      <w:pPr>
        <w:pStyle w:val="ListParagraph"/>
        <w:ind w:left="786"/>
        <w:jc w:val="both"/>
        <w:rPr>
          <w:rFonts w:eastAsia="Times New Roman" w:cs="Arial"/>
          <w:b/>
          <w:bCs/>
          <w:color w:val="232323"/>
          <w:u w:val="single"/>
        </w:rPr>
      </w:pPr>
      <w:r>
        <w:rPr>
          <w:rFonts w:eastAsia="Times New Roman" w:cs="Arial"/>
          <w:b/>
          <w:bCs/>
          <w:color w:val="232323"/>
          <w:u w:val="single"/>
        </w:rPr>
        <w:br/>
      </w:r>
    </w:p>
    <w:p w:rsidR="002B5826" w:rsidRDefault="002B5826" w:rsidP="000351CA">
      <w:pPr>
        <w:pStyle w:val="ListParagraph"/>
        <w:ind w:left="786"/>
        <w:jc w:val="both"/>
        <w:rPr>
          <w:rFonts w:eastAsia="Times New Roman" w:cs="Arial"/>
          <w:b/>
          <w:bCs/>
          <w:color w:val="232323"/>
          <w:u w:val="single"/>
        </w:rPr>
      </w:pPr>
    </w:p>
    <w:p w:rsidR="002B5826" w:rsidRPr="000351CA" w:rsidRDefault="002B5826" w:rsidP="000351CA">
      <w:pPr>
        <w:pStyle w:val="ListParagraph"/>
        <w:ind w:left="786"/>
        <w:jc w:val="both"/>
        <w:rPr>
          <w:rFonts w:eastAsia="Times New Roman" w:cs="Arial"/>
          <w:b/>
          <w:bCs/>
          <w:color w:val="232323"/>
          <w:u w:val="single"/>
        </w:rPr>
      </w:pPr>
    </w:p>
    <w:p w:rsidR="000351CA" w:rsidRDefault="000351CA" w:rsidP="00AF562A">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bookmarkStart w:id="46" w:name="_Toc25850940"/>
      <w:r w:rsidRPr="00AF562A">
        <w:rPr>
          <w:rFonts w:asciiTheme="minorHAnsi" w:hAnsiTheme="minorHAnsi"/>
          <w:smallCaps/>
          <w:color w:val="000000"/>
          <w:sz w:val="22"/>
          <w:szCs w:val="22"/>
        </w:rPr>
        <w:lastRenderedPageBreak/>
        <w:t>Odisha Distribution System Strengthening Programme ( ODSSP  ):-</w:t>
      </w:r>
      <w:bookmarkEnd w:id="46"/>
      <w:r w:rsidRPr="00AF562A">
        <w:rPr>
          <w:rFonts w:asciiTheme="minorHAnsi" w:hAnsiTheme="minorHAnsi"/>
          <w:smallCaps/>
          <w:color w:val="000000"/>
          <w:sz w:val="22"/>
          <w:szCs w:val="22"/>
        </w:rPr>
        <w:t xml:space="preserve"> </w:t>
      </w:r>
    </w:p>
    <w:p w:rsidR="00AF562A" w:rsidRPr="00AF562A" w:rsidRDefault="00AF562A" w:rsidP="00AF562A"/>
    <w:p w:rsidR="000351CA" w:rsidRPr="00AF562A" w:rsidRDefault="000351CA" w:rsidP="00AF562A">
      <w:pPr>
        <w:pStyle w:val="ListParagraph"/>
        <w:spacing w:line="360" w:lineRule="auto"/>
        <w:ind w:left="360"/>
        <w:jc w:val="both"/>
        <w:rPr>
          <w:rFonts w:ascii="Cambria" w:hAnsi="Cambria" w:cs="Calibri"/>
          <w:color w:val="232323"/>
          <w:sz w:val="24"/>
          <w:szCs w:val="24"/>
        </w:rPr>
      </w:pPr>
      <w:r w:rsidRPr="00AF562A">
        <w:rPr>
          <w:rFonts w:ascii="Cambria" w:hAnsi="Cambria" w:cs="Calibri"/>
          <w:color w:val="232323"/>
          <w:sz w:val="24"/>
          <w:szCs w:val="24"/>
        </w:rPr>
        <w:t>For quality supply of power to the consumers and to address the low voltage problem in rural area, Government of Odisha in Energy Department have decided to construct 99 nos. of New 33/11 KV Substations in three phases in NESCO area with an aim to reduce the high technical loss arising due to the length of 11 KV &amp; 33KV lines and to supply uninterrupted power at appropriate voltage to the consumers by increasing the number of 33/11 KV Substations. OPTCL is the nodal agency for this scheme.</w:t>
      </w:r>
    </w:p>
    <w:p w:rsidR="000351CA" w:rsidRPr="00AF562A" w:rsidRDefault="000351CA" w:rsidP="00AF562A">
      <w:pPr>
        <w:pStyle w:val="ListParagraph"/>
        <w:spacing w:line="360" w:lineRule="auto"/>
        <w:ind w:left="360"/>
        <w:jc w:val="both"/>
        <w:rPr>
          <w:rFonts w:ascii="Cambria" w:hAnsi="Cambria" w:cs="Calibri"/>
          <w:color w:val="232323"/>
          <w:sz w:val="24"/>
          <w:szCs w:val="24"/>
        </w:rPr>
      </w:pPr>
      <w:r w:rsidRPr="00AF562A">
        <w:rPr>
          <w:rFonts w:ascii="Cambria" w:hAnsi="Cambria" w:cs="Calibri"/>
          <w:color w:val="232323"/>
          <w:sz w:val="24"/>
          <w:szCs w:val="24"/>
        </w:rPr>
        <w:t>Construction work is under progress &amp; test charge have already been completed in 63 nos. of 33/11KV s/s &amp;  41 nos. of s/s  have already been handed over to NESCO. Balance sub-stations will be charged by march’2020.</w:t>
      </w:r>
    </w:p>
    <w:p w:rsidR="000351CA" w:rsidRDefault="000351CA" w:rsidP="00AF562A">
      <w:pPr>
        <w:pStyle w:val="ListParagraph"/>
        <w:spacing w:line="360" w:lineRule="auto"/>
        <w:ind w:left="360"/>
        <w:jc w:val="both"/>
        <w:rPr>
          <w:rFonts w:ascii="Cambria" w:hAnsi="Cambria" w:cs="Calibri"/>
          <w:color w:val="232323"/>
          <w:sz w:val="24"/>
          <w:szCs w:val="24"/>
        </w:rPr>
      </w:pPr>
      <w:r w:rsidRPr="00AF562A">
        <w:rPr>
          <w:rFonts w:ascii="Cambria" w:hAnsi="Cambria" w:cs="Calibri"/>
          <w:color w:val="232323"/>
          <w:sz w:val="24"/>
          <w:szCs w:val="24"/>
        </w:rPr>
        <w:t>Further, construction of 34 nos. of new 33/11Kv sub-stations are proposed  under  4th Phase of ODSSP.</w:t>
      </w:r>
    </w:p>
    <w:p w:rsidR="00AF562A" w:rsidRPr="00AF562A" w:rsidRDefault="00AF562A" w:rsidP="00AF562A">
      <w:pPr>
        <w:pStyle w:val="ListParagraph"/>
        <w:spacing w:line="360" w:lineRule="auto"/>
        <w:ind w:left="360"/>
        <w:jc w:val="both"/>
        <w:rPr>
          <w:rFonts w:ascii="Cambria" w:hAnsi="Cambria" w:cs="Calibri"/>
          <w:color w:val="232323"/>
          <w:sz w:val="24"/>
          <w:szCs w:val="24"/>
        </w:rPr>
      </w:pPr>
    </w:p>
    <w:p w:rsidR="000351CA" w:rsidRPr="00AF562A" w:rsidRDefault="000351CA" w:rsidP="00AF562A">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bookmarkStart w:id="47" w:name="_Toc25850941"/>
      <w:r w:rsidRPr="00AF562A">
        <w:rPr>
          <w:rFonts w:asciiTheme="minorHAnsi" w:hAnsiTheme="minorHAnsi"/>
          <w:smallCaps/>
          <w:color w:val="000000"/>
          <w:sz w:val="22"/>
          <w:szCs w:val="22"/>
        </w:rPr>
        <w:t>Shifting of Lines and Transformers from the premises of School and Anganwadi Centres</w:t>
      </w:r>
      <w:bookmarkEnd w:id="47"/>
    </w:p>
    <w:p w:rsidR="00AF562A" w:rsidRDefault="00AF562A" w:rsidP="00AF562A">
      <w:pPr>
        <w:pStyle w:val="ListParagraph"/>
        <w:spacing w:line="360" w:lineRule="auto"/>
        <w:ind w:left="360"/>
        <w:jc w:val="both"/>
        <w:rPr>
          <w:rFonts w:ascii="Cambria" w:hAnsi="Cambria" w:cs="Calibri"/>
          <w:color w:val="232323"/>
          <w:sz w:val="24"/>
          <w:szCs w:val="24"/>
        </w:rPr>
      </w:pPr>
    </w:p>
    <w:p w:rsidR="000351CA" w:rsidRPr="00AF562A" w:rsidRDefault="000351CA" w:rsidP="00AF562A">
      <w:pPr>
        <w:pStyle w:val="ListParagraph"/>
        <w:spacing w:line="360" w:lineRule="auto"/>
        <w:ind w:left="360"/>
        <w:jc w:val="both"/>
        <w:rPr>
          <w:rFonts w:ascii="Cambria" w:hAnsi="Cambria" w:cs="Calibri"/>
          <w:color w:val="232323"/>
          <w:sz w:val="24"/>
          <w:szCs w:val="24"/>
        </w:rPr>
      </w:pPr>
      <w:r w:rsidRPr="00AF562A">
        <w:rPr>
          <w:rFonts w:ascii="Cambria" w:hAnsi="Cambria" w:cs="Calibri"/>
          <w:color w:val="232323"/>
          <w:sz w:val="24"/>
          <w:szCs w:val="24"/>
        </w:rPr>
        <w:t>Govt. is concerned about the safety and security of children going to schools and Anganwadi premises as they are the citizen in making and future of the nation. So State Govt. has decided to shift lines and transformers from the premises of 1694nos. of Govt. school and Anganwadi centres in NESCO area. Rs. 11.77cr has already been received for this purpose.</w:t>
      </w:r>
    </w:p>
    <w:p w:rsidR="000351CA" w:rsidRPr="00AF562A" w:rsidRDefault="000351CA" w:rsidP="00AF562A">
      <w:pPr>
        <w:pStyle w:val="ListParagraph"/>
        <w:spacing w:line="360" w:lineRule="auto"/>
        <w:ind w:left="360"/>
        <w:jc w:val="both"/>
        <w:rPr>
          <w:rFonts w:ascii="Cambria" w:hAnsi="Cambria" w:cs="Calibri"/>
          <w:color w:val="232323"/>
          <w:sz w:val="24"/>
          <w:szCs w:val="24"/>
        </w:rPr>
      </w:pPr>
      <w:r w:rsidRPr="00AF562A">
        <w:rPr>
          <w:rFonts w:ascii="Cambria" w:hAnsi="Cambria" w:cs="Calibri"/>
          <w:color w:val="232323"/>
          <w:sz w:val="24"/>
          <w:szCs w:val="24"/>
        </w:rPr>
        <w:t>However, lines &amp; s/s of 1370 nos. of schools &amp; Anganwadi centres has already been completed . Expenditure of Rs. 8.44cr have already been incurred &amp; UC for Rs. 5.95Cr have already been submitted to Govt. against  801 nos. of School/Anganwadi.  Due to ROW problem work is being delayed. Besides this, work is to be taken up for additional 1028nos. of schools. For which steps have already been taken up by NESCO to find out the scope of work to be executed. After completion of survey work, detail estimate will be submitted to Govt. for sanction of funds.</w:t>
      </w:r>
    </w:p>
    <w:p w:rsidR="000351CA" w:rsidRDefault="000351CA" w:rsidP="00AF562A">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bookmarkStart w:id="48" w:name="_Toc25850942"/>
      <w:r w:rsidRPr="00AF562A">
        <w:rPr>
          <w:rFonts w:asciiTheme="minorHAnsi" w:hAnsiTheme="minorHAnsi"/>
          <w:smallCaps/>
          <w:color w:val="000000"/>
          <w:sz w:val="22"/>
          <w:szCs w:val="22"/>
        </w:rPr>
        <w:t>Separate Dedicated Pisciculture feeder:-</w:t>
      </w:r>
      <w:bookmarkEnd w:id="48"/>
    </w:p>
    <w:p w:rsidR="00AF562A" w:rsidRPr="00AF562A" w:rsidRDefault="00AF562A" w:rsidP="00AF562A"/>
    <w:p w:rsidR="000351CA" w:rsidRPr="00AF562A" w:rsidRDefault="000351CA" w:rsidP="00AF562A">
      <w:pPr>
        <w:pStyle w:val="ListParagraph"/>
        <w:spacing w:line="360" w:lineRule="auto"/>
        <w:ind w:left="360"/>
        <w:jc w:val="both"/>
        <w:rPr>
          <w:rFonts w:ascii="Cambria" w:hAnsi="Cambria" w:cs="Calibri"/>
          <w:color w:val="232323"/>
          <w:sz w:val="24"/>
          <w:szCs w:val="24"/>
        </w:rPr>
      </w:pPr>
      <w:r w:rsidRPr="00AF562A">
        <w:rPr>
          <w:rFonts w:ascii="Cambria" w:hAnsi="Cambria" w:cs="Calibri"/>
          <w:color w:val="232323"/>
          <w:sz w:val="24"/>
          <w:szCs w:val="24"/>
        </w:rPr>
        <w:t xml:space="preserve">Government has decided to provide Dedicated Electrical feeders for the Fishery sectors. For which, 8nos. of Pisciculture feeder are decided to taken up In first phase.   The commissioning of dedicated feeders will provide growth support to the sector </w:t>
      </w:r>
      <w:r w:rsidRPr="00AF562A">
        <w:rPr>
          <w:rFonts w:ascii="Cambria" w:hAnsi="Cambria" w:cs="Calibri"/>
          <w:color w:val="232323"/>
          <w:sz w:val="24"/>
          <w:szCs w:val="24"/>
        </w:rPr>
        <w:lastRenderedPageBreak/>
        <w:t xml:space="preserve">with development of ancillary activities like Cold storage, Food Processing Unit. Similarly, for supply of reliable and quality electricity as required for maximizing fish and prawn production, their cleaning, grading, refrigeration and preservation, the need of separate Electrical Feeder is felt. </w:t>
      </w:r>
    </w:p>
    <w:p w:rsidR="000351CA" w:rsidRPr="00AF562A" w:rsidRDefault="000351CA" w:rsidP="00AF562A">
      <w:pPr>
        <w:pStyle w:val="ListParagraph"/>
        <w:spacing w:line="360" w:lineRule="auto"/>
        <w:ind w:left="360"/>
        <w:jc w:val="both"/>
        <w:rPr>
          <w:rFonts w:ascii="Cambria" w:hAnsi="Cambria" w:cs="Calibri"/>
          <w:color w:val="232323"/>
          <w:sz w:val="24"/>
          <w:szCs w:val="24"/>
        </w:rPr>
      </w:pPr>
      <w:r w:rsidRPr="00AF562A">
        <w:rPr>
          <w:rFonts w:ascii="Cambria" w:hAnsi="Cambria" w:cs="Calibri"/>
          <w:color w:val="232323"/>
          <w:sz w:val="24"/>
          <w:szCs w:val="24"/>
        </w:rPr>
        <w:t>OPTCL is the executing agency and WAPCOS is engaged as Project Monitoring Agency (PMA) &amp; M/s GPIL is the contractor.  Now, the work is under progress &amp; will be completed by March’2020.</w:t>
      </w:r>
    </w:p>
    <w:p w:rsidR="000351CA" w:rsidRPr="00AF562A" w:rsidRDefault="000351CA" w:rsidP="00AF562A">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bookmarkStart w:id="49" w:name="_Toc25850943"/>
      <w:r w:rsidRPr="00AF562A">
        <w:rPr>
          <w:rFonts w:asciiTheme="minorHAnsi" w:hAnsiTheme="minorHAnsi"/>
          <w:smallCaps/>
          <w:color w:val="000000"/>
          <w:sz w:val="22"/>
          <w:szCs w:val="22"/>
        </w:rPr>
        <w:t>Strengthening of Electrical network inside Elephant Corridor:-</w:t>
      </w:r>
      <w:bookmarkEnd w:id="49"/>
    </w:p>
    <w:p w:rsidR="000351CA" w:rsidRPr="00AF562A" w:rsidRDefault="000351CA" w:rsidP="00AF562A">
      <w:pPr>
        <w:pStyle w:val="ListParagraph"/>
        <w:spacing w:line="360" w:lineRule="auto"/>
        <w:ind w:left="360"/>
        <w:jc w:val="both"/>
        <w:rPr>
          <w:rFonts w:ascii="Cambria" w:hAnsi="Cambria" w:cs="Calibri"/>
          <w:color w:val="232323"/>
          <w:sz w:val="24"/>
          <w:szCs w:val="24"/>
        </w:rPr>
      </w:pPr>
      <w:r w:rsidRPr="00AF562A">
        <w:rPr>
          <w:rFonts w:ascii="Cambria" w:hAnsi="Cambria" w:cs="Calibri"/>
          <w:color w:val="232323"/>
          <w:sz w:val="24"/>
          <w:szCs w:val="24"/>
        </w:rPr>
        <w:t xml:space="preserve">Considering the frequent electrocution of Elephants in recent time it is felt necessary that some Infrastructure Strengthening work in Elephant Corridor area is to be done. The scheme was launched during the F.Y 2012-13. The works under the Scheme is being implemented by NESCO. </w:t>
      </w:r>
    </w:p>
    <w:p w:rsidR="000351CA" w:rsidRPr="00AF562A" w:rsidRDefault="000351CA" w:rsidP="00AF562A">
      <w:pPr>
        <w:pStyle w:val="ListParagraph"/>
        <w:spacing w:line="360" w:lineRule="auto"/>
        <w:ind w:left="360"/>
        <w:jc w:val="both"/>
        <w:rPr>
          <w:rFonts w:ascii="Cambria" w:hAnsi="Cambria" w:cs="Calibri"/>
          <w:color w:val="232323"/>
          <w:sz w:val="24"/>
          <w:szCs w:val="24"/>
        </w:rPr>
      </w:pPr>
      <w:r w:rsidRPr="00AF562A">
        <w:rPr>
          <w:rFonts w:ascii="Cambria" w:hAnsi="Cambria" w:cs="Calibri"/>
          <w:color w:val="232323"/>
          <w:sz w:val="24"/>
          <w:szCs w:val="24"/>
        </w:rPr>
        <w:t xml:space="preserve">Under this scheme, Rs. 2.66Cr, 12.61Cr &amp; 17.51Cr was sanctioned in three phases &amp; all the works have been completed. UC for Rs. 25.54Cr have already been submitted against the expenditure of 28.243 Cr. Further, additional funds amounting to Rs. 4.62Cr &amp; 7.096Cr was sanctioned by Govt. of Odisha in favour of NESCO  during Oct’2018 &amp; Dec’2018 respectively for execution of additional work of Ph-III. The work is under progress in third phase(Addl.). Further, proposal amounting to Rs. 147.54Cr have been submitted to Govt. on dtd. 02.04.2019 in 4th Phase as per the locations received from PCCF(WL), BBSR.  Tender have already been floated for 61.47Cr against 1st phase priority work  &amp;  Rs. 26.50cr have already been sanctioned by Govt. for execution of the said work on 23.10.2019. </w:t>
      </w:r>
    </w:p>
    <w:p w:rsidR="000351CA" w:rsidRPr="00AF562A" w:rsidRDefault="000351CA" w:rsidP="00AF562A">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bookmarkStart w:id="50" w:name="_Toc25850944"/>
      <w:r w:rsidRPr="00AF562A">
        <w:rPr>
          <w:rFonts w:asciiTheme="minorHAnsi" w:hAnsiTheme="minorHAnsi"/>
          <w:smallCaps/>
          <w:color w:val="000000"/>
          <w:sz w:val="22"/>
          <w:szCs w:val="22"/>
        </w:rPr>
        <w:t>Underground Cabling System at Baripada Ratha danda:-</w:t>
      </w:r>
      <w:bookmarkEnd w:id="50"/>
    </w:p>
    <w:p w:rsidR="000351CA" w:rsidRDefault="000351CA" w:rsidP="00AF562A">
      <w:pPr>
        <w:pStyle w:val="ListParagraph"/>
        <w:spacing w:line="360" w:lineRule="auto"/>
        <w:ind w:left="360"/>
        <w:jc w:val="both"/>
        <w:rPr>
          <w:rFonts w:ascii="Cambria" w:hAnsi="Cambria" w:cs="Calibri"/>
          <w:color w:val="232323"/>
          <w:sz w:val="24"/>
          <w:szCs w:val="24"/>
        </w:rPr>
      </w:pPr>
      <w:r w:rsidRPr="00AF562A">
        <w:rPr>
          <w:rFonts w:ascii="Cambria" w:hAnsi="Cambria" w:cs="Calibri"/>
          <w:color w:val="232323"/>
          <w:sz w:val="24"/>
          <w:szCs w:val="24"/>
        </w:rPr>
        <w:t xml:space="preserve">In order to improve the power supply condition Ratha Danda, Baripada, Govt. have provided financial assistance to NESCO during 2015-16. For implementation of the project, Govt. of Odisha have provided financial support of Rs. 4.299 Crore.  All the works completed  only charging is to be done &amp; it will be completed by March’2020. Till date expenditure of Rs. 2.12Cr have been made towards supply &amp; erection bill paid to the contractor. </w:t>
      </w:r>
    </w:p>
    <w:p w:rsidR="002B5826" w:rsidRDefault="002B5826" w:rsidP="00AF562A">
      <w:pPr>
        <w:pStyle w:val="ListParagraph"/>
        <w:spacing w:line="360" w:lineRule="auto"/>
        <w:ind w:left="360"/>
        <w:jc w:val="both"/>
        <w:rPr>
          <w:rFonts w:ascii="Cambria" w:hAnsi="Cambria" w:cs="Calibri"/>
          <w:color w:val="232323"/>
          <w:sz w:val="24"/>
          <w:szCs w:val="24"/>
        </w:rPr>
      </w:pPr>
    </w:p>
    <w:p w:rsidR="002B5826" w:rsidRPr="00AF562A" w:rsidRDefault="002B5826" w:rsidP="00AF562A">
      <w:pPr>
        <w:pStyle w:val="ListParagraph"/>
        <w:spacing w:line="360" w:lineRule="auto"/>
        <w:ind w:left="360"/>
        <w:jc w:val="both"/>
        <w:rPr>
          <w:rFonts w:ascii="Cambria" w:hAnsi="Cambria" w:cs="Calibri"/>
          <w:color w:val="232323"/>
          <w:sz w:val="24"/>
          <w:szCs w:val="24"/>
        </w:rPr>
      </w:pPr>
    </w:p>
    <w:p w:rsidR="000351CA" w:rsidRDefault="000351CA" w:rsidP="00AF562A">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bookmarkStart w:id="51" w:name="_Toc25850945"/>
      <w:r w:rsidRPr="00AF562A">
        <w:rPr>
          <w:rFonts w:asciiTheme="minorHAnsi" w:hAnsiTheme="minorHAnsi"/>
          <w:smallCaps/>
          <w:color w:val="000000"/>
          <w:sz w:val="22"/>
          <w:szCs w:val="22"/>
        </w:rPr>
        <w:lastRenderedPageBreak/>
        <w:t>LED Village:-</w:t>
      </w:r>
      <w:bookmarkEnd w:id="51"/>
      <w:r w:rsidRPr="00AF562A">
        <w:rPr>
          <w:rFonts w:asciiTheme="minorHAnsi" w:hAnsiTheme="minorHAnsi"/>
          <w:smallCaps/>
          <w:color w:val="000000"/>
          <w:sz w:val="22"/>
          <w:szCs w:val="22"/>
        </w:rPr>
        <w:t xml:space="preserve"> </w:t>
      </w:r>
    </w:p>
    <w:p w:rsidR="00AF562A" w:rsidRPr="00AF562A" w:rsidRDefault="00AF562A" w:rsidP="00AF562A"/>
    <w:p w:rsidR="000351CA" w:rsidRDefault="000351CA" w:rsidP="00AF562A">
      <w:pPr>
        <w:pStyle w:val="ListParagraph"/>
        <w:spacing w:line="360" w:lineRule="auto"/>
        <w:ind w:left="360"/>
        <w:jc w:val="both"/>
        <w:rPr>
          <w:rFonts w:ascii="Cambria" w:hAnsi="Cambria" w:cs="Calibri"/>
          <w:color w:val="232323"/>
          <w:sz w:val="24"/>
          <w:szCs w:val="24"/>
        </w:rPr>
      </w:pPr>
      <w:r w:rsidRPr="00AF562A">
        <w:rPr>
          <w:rFonts w:ascii="Cambria" w:hAnsi="Cambria" w:cs="Calibri"/>
          <w:color w:val="232323"/>
          <w:sz w:val="24"/>
          <w:szCs w:val="24"/>
        </w:rPr>
        <w:t>4nos. of villages i.e. Sarei &amp; Baruan in Keonjhar district &amp; Sasada &amp; Khandahata in Jajpur district are selected for this scheme. The Project Cost of Rs. 11.69 lakhs was sanctioned &amp; received during April’2016 &amp; the  installation work  &amp; inauguration / declaration of the said villages  have already been completed &amp;  Expenditure of Rs. 8.58lakhs have already been made. UC submitted for 6.59lakhs &amp; UC for balance amount will be submitted by Dec’2019.</w:t>
      </w:r>
    </w:p>
    <w:p w:rsidR="000351CA" w:rsidRDefault="000351CA" w:rsidP="00AF562A">
      <w:pPr>
        <w:pStyle w:val="Heading1"/>
        <w:keepLines/>
        <w:numPr>
          <w:ilvl w:val="2"/>
          <w:numId w:val="18"/>
        </w:numPr>
        <w:tabs>
          <w:tab w:val="left" w:pos="540"/>
          <w:tab w:val="left" w:pos="630"/>
        </w:tabs>
        <w:spacing w:before="0" w:after="0" w:line="300" w:lineRule="auto"/>
        <w:ind w:left="540" w:hanging="540"/>
        <w:jc w:val="both"/>
        <w:rPr>
          <w:rFonts w:asciiTheme="minorHAnsi" w:hAnsiTheme="minorHAnsi"/>
          <w:smallCaps/>
          <w:color w:val="000000"/>
          <w:sz w:val="22"/>
          <w:szCs w:val="22"/>
        </w:rPr>
      </w:pPr>
      <w:bookmarkStart w:id="52" w:name="_Toc25850946"/>
      <w:r w:rsidRPr="00AF562A">
        <w:rPr>
          <w:rFonts w:asciiTheme="minorHAnsi" w:hAnsiTheme="minorHAnsi"/>
          <w:smallCaps/>
          <w:color w:val="000000"/>
          <w:sz w:val="22"/>
          <w:szCs w:val="22"/>
        </w:rPr>
        <w:t>SAUBHAGYA:-</w:t>
      </w:r>
      <w:bookmarkEnd w:id="52"/>
      <w:r w:rsidRPr="00AF562A">
        <w:rPr>
          <w:rFonts w:asciiTheme="minorHAnsi" w:hAnsiTheme="minorHAnsi"/>
          <w:smallCaps/>
          <w:color w:val="000000"/>
          <w:sz w:val="22"/>
          <w:szCs w:val="22"/>
        </w:rPr>
        <w:t xml:space="preserve">  </w:t>
      </w:r>
    </w:p>
    <w:p w:rsidR="00AF562A" w:rsidRPr="00AF562A" w:rsidRDefault="00AF562A" w:rsidP="00AF562A"/>
    <w:p w:rsidR="000351CA" w:rsidRPr="00346DD6" w:rsidRDefault="000351CA" w:rsidP="00346DD6">
      <w:pPr>
        <w:pStyle w:val="ListParagraph"/>
        <w:spacing w:line="360" w:lineRule="auto"/>
        <w:ind w:left="360"/>
        <w:jc w:val="both"/>
        <w:rPr>
          <w:rFonts w:ascii="Cambria" w:hAnsi="Cambria" w:cs="Calibri"/>
          <w:color w:val="232323"/>
          <w:sz w:val="24"/>
          <w:szCs w:val="24"/>
        </w:rPr>
      </w:pPr>
      <w:r w:rsidRPr="00346DD6">
        <w:rPr>
          <w:rFonts w:ascii="Cambria" w:hAnsi="Cambria" w:cs="Calibri"/>
          <w:color w:val="232323"/>
          <w:sz w:val="24"/>
          <w:szCs w:val="24"/>
        </w:rPr>
        <w:t xml:space="preserve">The aim of the scheme is to provide last mile connectivity and electricity connection to all un-electrified households in rural areas &amp; all remaining economically poor un-electrified households in urban areas. Non- The aim of the scheme is to provide last mile connectivity and electricity connection to all un-electrified households in rural areas &amp; all remaining economically poor un-electrified households in urban areas. Non-poor urban households are excluded of this scheme. </w:t>
      </w:r>
    </w:p>
    <w:p w:rsidR="000351CA" w:rsidRPr="00346DD6" w:rsidRDefault="000351CA" w:rsidP="00346DD6">
      <w:pPr>
        <w:pStyle w:val="ListParagraph"/>
        <w:spacing w:line="360" w:lineRule="auto"/>
        <w:ind w:left="360"/>
        <w:jc w:val="both"/>
        <w:rPr>
          <w:rFonts w:ascii="Cambria" w:hAnsi="Cambria" w:cs="Calibri"/>
          <w:color w:val="232323"/>
          <w:sz w:val="24"/>
          <w:szCs w:val="24"/>
        </w:rPr>
      </w:pPr>
      <w:r w:rsidRPr="00346DD6">
        <w:rPr>
          <w:rFonts w:ascii="Cambria" w:hAnsi="Cambria" w:cs="Calibri"/>
          <w:color w:val="232323"/>
          <w:sz w:val="24"/>
          <w:szCs w:val="24"/>
        </w:rPr>
        <w:t>Under this scheme, 4,38,222nos. of HH in Rural area &amp; 22,871nos. of HH in Urban area have been electrified &amp; 5nos. of districts  &amp; 19nos. of ULBs under NESCO Utility have been declared fully saturated .</w:t>
      </w:r>
    </w:p>
    <w:p w:rsidR="000351CA" w:rsidRPr="00346DD6" w:rsidRDefault="000351CA" w:rsidP="00346DD6">
      <w:pPr>
        <w:pStyle w:val="ListParagraph"/>
        <w:spacing w:line="360" w:lineRule="auto"/>
        <w:ind w:left="360"/>
        <w:jc w:val="both"/>
        <w:rPr>
          <w:rFonts w:ascii="Cambria" w:hAnsi="Cambria" w:cs="Calibri"/>
          <w:color w:val="232323"/>
          <w:sz w:val="24"/>
          <w:szCs w:val="24"/>
        </w:rPr>
      </w:pPr>
      <w:r w:rsidRPr="00346DD6">
        <w:rPr>
          <w:rFonts w:ascii="Cambria" w:hAnsi="Cambria" w:cs="Calibri"/>
          <w:color w:val="232323"/>
          <w:sz w:val="24"/>
          <w:szCs w:val="24"/>
        </w:rPr>
        <w:t>NESCO have received Rs. 109.99Cr under Saubhagya &amp; UC submitted for  Rs. 101.29Cr.</w:t>
      </w:r>
    </w:p>
    <w:p w:rsidR="00B77D69" w:rsidRPr="00ED722C" w:rsidRDefault="003D2AC4" w:rsidP="006935E2">
      <w:pPr>
        <w:pStyle w:val="Heading1"/>
        <w:numPr>
          <w:ilvl w:val="0"/>
          <w:numId w:val="18"/>
        </w:numPr>
        <w:spacing w:line="360" w:lineRule="auto"/>
        <w:jc w:val="both"/>
        <w:rPr>
          <w:rFonts w:ascii="Cambria" w:hAnsi="Cambria"/>
          <w:sz w:val="24"/>
          <w:szCs w:val="24"/>
        </w:rPr>
      </w:pPr>
      <w:bookmarkStart w:id="53" w:name="_Toc25850947"/>
      <w:r w:rsidRPr="00ED722C">
        <w:rPr>
          <w:rFonts w:ascii="Cambria" w:hAnsi="Cambria"/>
          <w:sz w:val="24"/>
          <w:szCs w:val="24"/>
        </w:rPr>
        <w:t xml:space="preserve">Revenue and </w:t>
      </w:r>
      <w:r w:rsidR="0004407D" w:rsidRPr="00ED722C">
        <w:rPr>
          <w:rFonts w:ascii="Cambria" w:hAnsi="Cambria"/>
          <w:sz w:val="24"/>
          <w:szCs w:val="24"/>
        </w:rPr>
        <w:t>Current year GAP</w:t>
      </w:r>
      <w:bookmarkEnd w:id="53"/>
      <w:r w:rsidRPr="00ED722C">
        <w:rPr>
          <w:rFonts w:ascii="Cambria" w:hAnsi="Cambria"/>
          <w:sz w:val="24"/>
          <w:szCs w:val="24"/>
        </w:rPr>
        <w:t xml:space="preserve"> </w:t>
      </w:r>
    </w:p>
    <w:p w:rsidR="00B77D69" w:rsidRPr="00B77D69" w:rsidRDefault="00B77D69" w:rsidP="000263F3">
      <w:pPr>
        <w:pStyle w:val="Heading1"/>
        <w:spacing w:line="360" w:lineRule="auto"/>
        <w:ind w:left="1440"/>
        <w:jc w:val="both"/>
        <w:rPr>
          <w:rFonts w:ascii="Cambria" w:hAnsi="Cambria"/>
          <w:sz w:val="24"/>
          <w:szCs w:val="24"/>
        </w:rPr>
      </w:pPr>
      <w:bookmarkStart w:id="54" w:name="_Toc25850948"/>
      <w:r w:rsidRPr="00ED722C">
        <w:rPr>
          <w:sz w:val="22"/>
          <w:szCs w:val="22"/>
        </w:rPr>
        <w:t>4.1.</w:t>
      </w:r>
      <w:r w:rsidRPr="00ED722C">
        <w:tab/>
      </w:r>
      <w:r w:rsidRPr="00ED722C">
        <w:rPr>
          <w:rFonts w:ascii="Cambria" w:hAnsi="Cambria"/>
          <w:sz w:val="24"/>
          <w:szCs w:val="24"/>
        </w:rPr>
        <w:t>Non Tariff Income</w:t>
      </w:r>
      <w:bookmarkEnd w:id="54"/>
    </w:p>
    <w:p w:rsidR="00B77D69" w:rsidRPr="009247C4" w:rsidRDefault="00B77D69" w:rsidP="00F42E0C">
      <w:pPr>
        <w:pStyle w:val="ListParagraph"/>
        <w:spacing w:line="360" w:lineRule="auto"/>
        <w:ind w:left="360"/>
        <w:jc w:val="both"/>
        <w:rPr>
          <w:rFonts w:ascii="Cambria" w:hAnsi="Cambria" w:cs="Calibri"/>
          <w:color w:val="232323"/>
          <w:sz w:val="24"/>
          <w:szCs w:val="24"/>
        </w:rPr>
      </w:pPr>
      <w:r w:rsidRPr="00ED722C">
        <w:rPr>
          <w:rFonts w:ascii="Cambria" w:hAnsi="Cambria" w:cs="Calibri"/>
          <w:color w:val="232323"/>
          <w:sz w:val="24"/>
          <w:szCs w:val="24"/>
        </w:rPr>
        <w:t xml:space="preserve">The </w:t>
      </w:r>
      <w:r w:rsidR="006C38E9" w:rsidRPr="00ED722C">
        <w:rPr>
          <w:rFonts w:ascii="Cambria" w:hAnsi="Cambria" w:cs="Calibri"/>
          <w:color w:val="232323"/>
          <w:sz w:val="24"/>
          <w:szCs w:val="24"/>
        </w:rPr>
        <w:t>Utility</w:t>
      </w:r>
      <w:r w:rsidRPr="00ED722C">
        <w:rPr>
          <w:rFonts w:ascii="Cambria" w:hAnsi="Cambria" w:cs="Calibri"/>
          <w:color w:val="232323"/>
          <w:sz w:val="24"/>
          <w:szCs w:val="24"/>
        </w:rPr>
        <w:t xml:space="preserve"> has proposed Rs.</w:t>
      </w:r>
      <w:r w:rsidR="003D69D3" w:rsidRPr="00ED722C">
        <w:rPr>
          <w:rFonts w:ascii="Cambria" w:hAnsi="Cambria" w:cs="Calibri"/>
          <w:color w:val="232323"/>
          <w:sz w:val="24"/>
          <w:szCs w:val="24"/>
        </w:rPr>
        <w:t xml:space="preserve"> </w:t>
      </w:r>
      <w:r w:rsidR="000228BC">
        <w:rPr>
          <w:rFonts w:ascii="Cambria" w:hAnsi="Cambria" w:cs="Calibri"/>
          <w:color w:val="232323"/>
          <w:sz w:val="24"/>
          <w:szCs w:val="24"/>
        </w:rPr>
        <w:t>78.85</w:t>
      </w:r>
      <w:r w:rsidRPr="00ED722C">
        <w:rPr>
          <w:rFonts w:ascii="Cambria" w:hAnsi="Cambria" w:cs="Calibri"/>
          <w:color w:val="232323"/>
          <w:sz w:val="24"/>
          <w:szCs w:val="24"/>
        </w:rPr>
        <w:t xml:space="preserve"> Crore as Non Tariff Inc</w:t>
      </w:r>
      <w:r w:rsidR="000228BC">
        <w:rPr>
          <w:rFonts w:ascii="Cambria" w:hAnsi="Cambria" w:cs="Calibri"/>
          <w:color w:val="232323"/>
          <w:sz w:val="24"/>
          <w:szCs w:val="24"/>
        </w:rPr>
        <w:t xml:space="preserve">ome for the ensuing </w:t>
      </w:r>
      <w:r w:rsidR="000228BC">
        <w:rPr>
          <w:rFonts w:ascii="Cambria" w:hAnsi="Cambria" w:cs="Calibri"/>
          <w:color w:val="232323"/>
          <w:sz w:val="24"/>
          <w:szCs w:val="24"/>
        </w:rPr>
        <w:tab/>
        <w:t>year FY 20</w:t>
      </w:r>
      <w:r w:rsidR="00ED722C">
        <w:rPr>
          <w:rFonts w:ascii="Cambria" w:hAnsi="Cambria" w:cs="Calibri"/>
          <w:color w:val="232323"/>
          <w:sz w:val="24"/>
          <w:szCs w:val="24"/>
        </w:rPr>
        <w:t>20</w:t>
      </w:r>
      <w:r w:rsidR="000228BC">
        <w:rPr>
          <w:rFonts w:ascii="Cambria" w:hAnsi="Cambria" w:cs="Calibri"/>
          <w:color w:val="232323"/>
          <w:sz w:val="24"/>
          <w:szCs w:val="24"/>
        </w:rPr>
        <w:t>-21</w:t>
      </w:r>
      <w:r w:rsidRPr="00ED722C">
        <w:rPr>
          <w:rFonts w:ascii="Cambria" w:hAnsi="Cambria" w:cs="Calibri"/>
          <w:color w:val="232323"/>
          <w:sz w:val="24"/>
          <w:szCs w:val="24"/>
        </w:rPr>
        <w:t xml:space="preserve">. The </w:t>
      </w:r>
      <w:r w:rsidR="006C38E9" w:rsidRPr="00ED722C">
        <w:rPr>
          <w:rFonts w:ascii="Cambria" w:hAnsi="Cambria" w:cs="Calibri"/>
          <w:color w:val="232323"/>
          <w:sz w:val="24"/>
          <w:szCs w:val="24"/>
        </w:rPr>
        <w:t>Utility</w:t>
      </w:r>
      <w:r w:rsidRPr="00ED722C">
        <w:rPr>
          <w:rFonts w:ascii="Cambria" w:hAnsi="Cambria" w:cs="Calibri"/>
          <w:color w:val="232323"/>
          <w:sz w:val="24"/>
          <w:szCs w:val="24"/>
        </w:rPr>
        <w:t xml:space="preserve"> submits the Hon’ble Commission to exclude the income </w:t>
      </w:r>
      <w:r w:rsidR="009247C4" w:rsidRPr="00ED722C">
        <w:rPr>
          <w:rFonts w:ascii="Cambria" w:hAnsi="Cambria" w:cs="Calibri"/>
          <w:color w:val="232323"/>
          <w:sz w:val="24"/>
          <w:szCs w:val="24"/>
        </w:rPr>
        <w:t>f</w:t>
      </w:r>
      <w:r w:rsidRPr="00ED722C">
        <w:rPr>
          <w:rFonts w:ascii="Cambria" w:hAnsi="Cambria" w:cs="Calibri"/>
          <w:color w:val="232323"/>
          <w:sz w:val="24"/>
          <w:szCs w:val="24"/>
        </w:rPr>
        <w:t xml:space="preserve">rom meter rent as </w:t>
      </w:r>
      <w:r w:rsidR="009247C4" w:rsidRPr="00ED722C">
        <w:rPr>
          <w:rFonts w:ascii="Cambria" w:hAnsi="Cambria" w:cs="Calibri"/>
          <w:color w:val="232323"/>
          <w:sz w:val="24"/>
          <w:szCs w:val="24"/>
        </w:rPr>
        <w:t>the same is intended to be used towards replacement of the meters.</w:t>
      </w:r>
    </w:p>
    <w:p w:rsidR="00B77D69" w:rsidRPr="00DE680C" w:rsidRDefault="00B77D69" w:rsidP="000263F3">
      <w:pPr>
        <w:pStyle w:val="Heading1"/>
        <w:spacing w:line="360" w:lineRule="auto"/>
        <w:ind w:left="1440"/>
        <w:jc w:val="both"/>
        <w:rPr>
          <w:rFonts w:ascii="Cambria" w:hAnsi="Cambria"/>
          <w:b w:val="0"/>
          <w:bCs w:val="0"/>
        </w:rPr>
      </w:pPr>
      <w:bookmarkStart w:id="55" w:name="_Toc25850949"/>
      <w:r w:rsidRPr="009449D8">
        <w:rPr>
          <w:sz w:val="22"/>
          <w:szCs w:val="22"/>
        </w:rPr>
        <w:t>4.2</w:t>
      </w:r>
      <w:r w:rsidRPr="000263F3">
        <w:rPr>
          <w:rFonts w:ascii="Cambria" w:hAnsi="Cambria"/>
          <w:b w:val="0"/>
          <w:bCs w:val="0"/>
          <w:sz w:val="24"/>
          <w:szCs w:val="24"/>
        </w:rPr>
        <w:t>.</w:t>
      </w:r>
      <w:r w:rsidRPr="000263F3">
        <w:rPr>
          <w:rFonts w:ascii="Cambria" w:hAnsi="Cambria"/>
          <w:b w:val="0"/>
          <w:bCs w:val="0"/>
          <w:sz w:val="24"/>
          <w:szCs w:val="24"/>
        </w:rPr>
        <w:tab/>
      </w:r>
      <w:r w:rsidRPr="003D2AC4">
        <w:rPr>
          <w:rFonts w:ascii="Cambria" w:hAnsi="Cambria"/>
          <w:bCs w:val="0"/>
          <w:sz w:val="24"/>
          <w:szCs w:val="24"/>
        </w:rPr>
        <w:t>Provision for Contingency Reserve</w:t>
      </w:r>
      <w:bookmarkEnd w:id="55"/>
    </w:p>
    <w:p w:rsidR="00B77D69" w:rsidRPr="00BF0E9D" w:rsidRDefault="00B77D69" w:rsidP="00ED722C">
      <w:pPr>
        <w:spacing w:line="360" w:lineRule="auto"/>
        <w:ind w:left="709" w:firstLine="11"/>
        <w:jc w:val="both"/>
        <w:rPr>
          <w:rFonts w:ascii="Cambria" w:hAnsi="Cambria"/>
        </w:rPr>
      </w:pPr>
      <w:r w:rsidRPr="00BF0E9D">
        <w:rPr>
          <w:rFonts w:ascii="Cambria" w:hAnsi="Cambria" w:cs="Arial"/>
        </w:rPr>
        <w:t xml:space="preserve">The </w:t>
      </w:r>
      <w:r w:rsidR="006C38E9">
        <w:rPr>
          <w:rFonts w:ascii="Cambria" w:hAnsi="Cambria" w:cs="Arial"/>
        </w:rPr>
        <w:t>Utility</w:t>
      </w:r>
      <w:r>
        <w:rPr>
          <w:rFonts w:ascii="Cambria" w:hAnsi="Cambria" w:cs="Arial"/>
        </w:rPr>
        <w:t xml:space="preserve"> submits that the </w:t>
      </w:r>
      <w:r w:rsidRPr="00BF0E9D">
        <w:rPr>
          <w:rFonts w:ascii="Cambria" w:hAnsi="Cambria" w:cs="Arial"/>
        </w:rPr>
        <w:t xml:space="preserve">Distribution system is more prone to natural </w:t>
      </w:r>
      <w:r>
        <w:rPr>
          <w:rFonts w:ascii="Cambria" w:hAnsi="Cambria" w:cs="Arial"/>
        </w:rPr>
        <w:tab/>
      </w:r>
      <w:r w:rsidRPr="00BF0E9D">
        <w:rPr>
          <w:rFonts w:ascii="Cambria" w:hAnsi="Cambria" w:cs="Arial"/>
        </w:rPr>
        <w:t>calamities like cyclone, flood etc</w:t>
      </w:r>
      <w:r>
        <w:rPr>
          <w:rFonts w:ascii="Cambria" w:hAnsi="Cambria" w:cs="Arial"/>
        </w:rPr>
        <w:t xml:space="preserve">, which have become an annual feature given the </w:t>
      </w:r>
      <w:r>
        <w:rPr>
          <w:rFonts w:ascii="Cambria" w:hAnsi="Cambria" w:cs="Arial"/>
        </w:rPr>
        <w:tab/>
      </w:r>
      <w:r w:rsidR="00ED722C">
        <w:rPr>
          <w:rFonts w:ascii="Cambria" w:hAnsi="Cambria" w:cs="Arial"/>
        </w:rPr>
        <w:t xml:space="preserve">Titli, </w:t>
      </w:r>
      <w:r w:rsidR="00EE3802">
        <w:rPr>
          <w:rFonts w:ascii="Cambria" w:hAnsi="Cambria" w:cs="Arial"/>
        </w:rPr>
        <w:t xml:space="preserve">Phailin, </w:t>
      </w:r>
      <w:r>
        <w:rPr>
          <w:rFonts w:ascii="Cambria" w:hAnsi="Cambria" w:cs="Arial"/>
        </w:rPr>
        <w:t>Hud Hud</w:t>
      </w:r>
      <w:r w:rsidR="00EE3802">
        <w:rPr>
          <w:rFonts w:ascii="Cambria" w:hAnsi="Cambria" w:cs="Arial"/>
        </w:rPr>
        <w:t>, Fani and Bulbul</w:t>
      </w:r>
      <w:r>
        <w:rPr>
          <w:rFonts w:ascii="Cambria" w:hAnsi="Cambria" w:cs="Arial"/>
        </w:rPr>
        <w:t xml:space="preserve"> in quick succession, </w:t>
      </w:r>
      <w:r w:rsidRPr="00BF0E9D">
        <w:rPr>
          <w:rFonts w:ascii="Cambria" w:hAnsi="Cambria" w:cs="Arial"/>
        </w:rPr>
        <w:t xml:space="preserve"> f</w:t>
      </w:r>
      <w:r w:rsidR="00ED722C">
        <w:rPr>
          <w:rFonts w:ascii="Cambria" w:hAnsi="Cambria" w:cs="Arial"/>
        </w:rPr>
        <w:t xml:space="preserve">or which contingency provisions </w:t>
      </w:r>
      <w:r w:rsidRPr="00BF0E9D">
        <w:rPr>
          <w:rFonts w:ascii="Cambria" w:hAnsi="Cambria" w:cs="Arial"/>
        </w:rPr>
        <w:t>should be made</w:t>
      </w:r>
      <w:r>
        <w:rPr>
          <w:rFonts w:ascii="Cambria" w:hAnsi="Cambria" w:cs="Arial"/>
        </w:rPr>
        <w:t xml:space="preserve">. </w:t>
      </w:r>
      <w:r>
        <w:rPr>
          <w:rFonts w:ascii="Cambria" w:hAnsi="Cambria"/>
        </w:rPr>
        <w:tab/>
      </w:r>
    </w:p>
    <w:p w:rsidR="00DA6D12" w:rsidRDefault="00B77D69" w:rsidP="00B77D69">
      <w:pPr>
        <w:spacing w:line="360" w:lineRule="auto"/>
        <w:ind w:left="709"/>
        <w:jc w:val="both"/>
        <w:rPr>
          <w:rFonts w:ascii="Cambria" w:hAnsi="Cambria"/>
        </w:rPr>
      </w:pPr>
      <w:r>
        <w:rPr>
          <w:rFonts w:ascii="Cambria" w:hAnsi="Cambria"/>
        </w:rPr>
        <w:tab/>
      </w:r>
    </w:p>
    <w:p w:rsidR="00B77D69" w:rsidRPr="00BF0E9D" w:rsidRDefault="00B77D69" w:rsidP="00B77D69">
      <w:pPr>
        <w:spacing w:line="360" w:lineRule="auto"/>
        <w:ind w:left="709"/>
        <w:jc w:val="both"/>
        <w:rPr>
          <w:rFonts w:ascii="Cambria" w:hAnsi="Cambria"/>
        </w:rPr>
      </w:pPr>
      <w:r>
        <w:rPr>
          <w:rFonts w:ascii="Cambria" w:hAnsi="Cambria"/>
        </w:rPr>
        <w:lastRenderedPageBreak/>
        <w:t xml:space="preserve">The </w:t>
      </w:r>
      <w:r w:rsidR="006C38E9">
        <w:rPr>
          <w:rFonts w:ascii="Cambria" w:hAnsi="Cambria"/>
        </w:rPr>
        <w:t>Utility</w:t>
      </w:r>
      <w:r>
        <w:rPr>
          <w:rFonts w:ascii="Cambria" w:hAnsi="Cambria"/>
        </w:rPr>
        <w:t xml:space="preserve"> seeks reference to </w:t>
      </w:r>
      <w:r w:rsidRPr="00BF0E9D">
        <w:rPr>
          <w:rFonts w:ascii="Cambria" w:hAnsi="Cambria"/>
        </w:rPr>
        <w:t xml:space="preserve">, the National Tariff Policy, vide Clause 8.2.1 Para </w:t>
      </w:r>
      <w:r>
        <w:rPr>
          <w:rFonts w:ascii="Cambria" w:hAnsi="Cambria"/>
        </w:rPr>
        <w:tab/>
      </w:r>
      <w:r w:rsidRPr="00BF0E9D">
        <w:rPr>
          <w:rFonts w:ascii="Cambria" w:hAnsi="Cambria"/>
        </w:rPr>
        <w:t xml:space="preserve">‘6’ </w:t>
      </w:r>
      <w:r>
        <w:rPr>
          <w:rFonts w:ascii="Cambria" w:hAnsi="Cambria"/>
        </w:rPr>
        <w:t xml:space="preserve">which states </w:t>
      </w:r>
      <w:r w:rsidRPr="00BF0E9D">
        <w:rPr>
          <w:rFonts w:ascii="Cambria" w:hAnsi="Cambria"/>
        </w:rPr>
        <w:t xml:space="preserve">that, the contingency reserve should be drawn upon the prior </w:t>
      </w:r>
      <w:r>
        <w:rPr>
          <w:rFonts w:ascii="Cambria" w:hAnsi="Cambria"/>
        </w:rPr>
        <w:tab/>
      </w:r>
      <w:r w:rsidRPr="00BF0E9D">
        <w:rPr>
          <w:rFonts w:ascii="Cambria" w:hAnsi="Cambria"/>
        </w:rPr>
        <w:t xml:space="preserve">approval of the State Commission only in the event of contingency conditions </w:t>
      </w:r>
      <w:r>
        <w:rPr>
          <w:rFonts w:ascii="Cambria" w:hAnsi="Cambria"/>
        </w:rPr>
        <w:tab/>
      </w:r>
      <w:r w:rsidRPr="00BF0E9D">
        <w:rPr>
          <w:rFonts w:ascii="Cambria" w:hAnsi="Cambria"/>
        </w:rPr>
        <w:t>specified through the Regulations by the State Commission. Accordingly, taking into consideration that, the State of Odisha is prone to natural calamities at regular intervals having witnessed in the last 100 year</w:t>
      </w:r>
      <w:r w:rsidR="00EE3802">
        <w:rPr>
          <w:rFonts w:ascii="Cambria" w:hAnsi="Cambria"/>
        </w:rPr>
        <w:t>s, 49 floods, 39 droughts and 13</w:t>
      </w:r>
      <w:r w:rsidRPr="00BF0E9D">
        <w:rPr>
          <w:rFonts w:ascii="Cambria" w:hAnsi="Cambria"/>
        </w:rPr>
        <w:t xml:space="preserve"> cyclones, and taking into consideration the massive damage to the electrical infrastructure, it is prayed that Contingency Reserve be allowed for the </w:t>
      </w:r>
      <w:r w:rsidR="006C38E9">
        <w:rPr>
          <w:rFonts w:ascii="Cambria" w:hAnsi="Cambria"/>
        </w:rPr>
        <w:t>Utility</w:t>
      </w:r>
      <w:r w:rsidRPr="00BF0E9D">
        <w:rPr>
          <w:rFonts w:ascii="Cambria" w:hAnsi="Cambria"/>
        </w:rPr>
        <w:t xml:space="preserve"> along with the guidelines/practice directions for use of such Contingency Reserve Fund.       </w:t>
      </w:r>
    </w:p>
    <w:p w:rsidR="00DA6D12" w:rsidRDefault="00DA6D12" w:rsidP="00B77D69">
      <w:pPr>
        <w:spacing w:line="360" w:lineRule="auto"/>
        <w:ind w:left="709"/>
        <w:jc w:val="both"/>
        <w:rPr>
          <w:rFonts w:ascii="Cambria" w:hAnsi="Cambria" w:cs="Arial"/>
        </w:rPr>
      </w:pPr>
    </w:p>
    <w:p w:rsidR="00B77D69" w:rsidRDefault="00B77D69" w:rsidP="00B77D69">
      <w:pPr>
        <w:spacing w:line="360" w:lineRule="auto"/>
        <w:ind w:left="709"/>
        <w:jc w:val="both"/>
        <w:rPr>
          <w:rFonts w:ascii="Cambria" w:hAnsi="Cambria" w:cs="Arial"/>
        </w:rPr>
      </w:pPr>
      <w:r w:rsidRPr="00BF0E9D">
        <w:rPr>
          <w:rFonts w:ascii="Cambria" w:hAnsi="Cambria" w:cs="Arial"/>
        </w:rPr>
        <w:t>The Power Distribution network has suffered the most damage in the recent cyclone Phailin</w:t>
      </w:r>
      <w:r>
        <w:rPr>
          <w:rFonts w:ascii="Cambria" w:hAnsi="Cambria" w:cs="Arial"/>
        </w:rPr>
        <w:t>, Hud Hud</w:t>
      </w:r>
      <w:r w:rsidRPr="00BF0E9D">
        <w:rPr>
          <w:rFonts w:ascii="Cambria" w:hAnsi="Cambria" w:cs="Arial"/>
        </w:rPr>
        <w:t xml:space="preserve"> and subsequent flood further justifies the requirement of contingency reserve for the Distribution </w:t>
      </w:r>
      <w:r w:rsidR="006C38E9">
        <w:rPr>
          <w:rFonts w:ascii="Cambria" w:hAnsi="Cambria" w:cs="Arial"/>
        </w:rPr>
        <w:t>Utilities</w:t>
      </w:r>
      <w:r w:rsidRPr="00BF0E9D">
        <w:rPr>
          <w:rFonts w:ascii="Cambria" w:hAnsi="Cambria" w:cs="Arial"/>
        </w:rPr>
        <w:t xml:space="preserve">. </w:t>
      </w:r>
    </w:p>
    <w:p w:rsidR="000228BC" w:rsidRDefault="000228BC" w:rsidP="00B77D69">
      <w:pPr>
        <w:spacing w:line="360" w:lineRule="auto"/>
        <w:ind w:left="709"/>
        <w:jc w:val="both"/>
        <w:rPr>
          <w:rFonts w:ascii="Cambria" w:hAnsi="Cambria" w:cs="Arial"/>
          <w:b/>
        </w:rPr>
      </w:pPr>
    </w:p>
    <w:p w:rsidR="00B77D69" w:rsidRPr="00873875" w:rsidRDefault="00B77D69" w:rsidP="00B77D69">
      <w:pPr>
        <w:spacing w:line="360" w:lineRule="auto"/>
        <w:ind w:left="709"/>
        <w:jc w:val="both"/>
        <w:rPr>
          <w:rFonts w:ascii="Cambria" w:hAnsi="Cambria" w:cs="Arial"/>
          <w:b/>
        </w:rPr>
      </w:pPr>
      <w:r w:rsidRPr="00873875">
        <w:rPr>
          <w:rFonts w:ascii="Cambria" w:hAnsi="Cambria" w:cs="Arial"/>
          <w:b/>
        </w:rPr>
        <w:t xml:space="preserve">The </w:t>
      </w:r>
      <w:r w:rsidR="006C38E9">
        <w:rPr>
          <w:rFonts w:ascii="Cambria" w:hAnsi="Cambria" w:cs="Arial"/>
          <w:b/>
        </w:rPr>
        <w:t>Utility</w:t>
      </w:r>
      <w:r w:rsidRPr="00873875">
        <w:rPr>
          <w:rFonts w:ascii="Cambria" w:hAnsi="Cambria" w:cs="Arial"/>
          <w:b/>
        </w:rPr>
        <w:t xml:space="preserve"> has considered the Contingency @ 0.375% of Gross Fixed Assets at beginning of the year while estimating the ARR for the ensu</w:t>
      </w:r>
      <w:r w:rsidR="000228BC">
        <w:rPr>
          <w:rFonts w:ascii="Cambria" w:hAnsi="Cambria" w:cs="Arial"/>
          <w:b/>
        </w:rPr>
        <w:t>ing year FY 20</w:t>
      </w:r>
      <w:r w:rsidR="00F87D5A">
        <w:rPr>
          <w:rFonts w:ascii="Cambria" w:hAnsi="Cambria" w:cs="Arial"/>
          <w:b/>
        </w:rPr>
        <w:t>20</w:t>
      </w:r>
      <w:r w:rsidR="000228BC">
        <w:rPr>
          <w:rFonts w:ascii="Cambria" w:hAnsi="Cambria" w:cs="Arial"/>
          <w:b/>
        </w:rPr>
        <w:t>-21</w:t>
      </w:r>
      <w:r w:rsidRPr="00873875">
        <w:rPr>
          <w:rFonts w:ascii="Cambria" w:hAnsi="Cambria" w:cs="Arial"/>
          <w:b/>
        </w:rPr>
        <w:t xml:space="preserve">. The </w:t>
      </w:r>
      <w:r w:rsidR="006C38E9">
        <w:rPr>
          <w:rFonts w:ascii="Cambria" w:hAnsi="Cambria" w:cs="Arial"/>
          <w:b/>
        </w:rPr>
        <w:t>Utility</w:t>
      </w:r>
      <w:r w:rsidRPr="00873875">
        <w:rPr>
          <w:rFonts w:ascii="Cambria" w:hAnsi="Cambria" w:cs="Arial"/>
          <w:b/>
        </w:rPr>
        <w:t xml:space="preserve"> respectfully submits to allow Rs. </w:t>
      </w:r>
      <w:r w:rsidR="000228BC">
        <w:rPr>
          <w:rFonts w:ascii="Cambria" w:hAnsi="Cambria" w:cs="Arial"/>
          <w:b/>
        </w:rPr>
        <w:t>9.65</w:t>
      </w:r>
      <w:r>
        <w:rPr>
          <w:rFonts w:ascii="Cambria" w:hAnsi="Cambria" w:cs="Arial"/>
          <w:b/>
        </w:rPr>
        <w:t xml:space="preserve"> </w:t>
      </w:r>
      <w:r w:rsidRPr="00873875">
        <w:rPr>
          <w:rFonts w:ascii="Cambria" w:hAnsi="Cambria" w:cs="Arial"/>
          <w:b/>
        </w:rPr>
        <w:t>Crore towards prov</w:t>
      </w:r>
      <w:r w:rsidR="000228BC">
        <w:rPr>
          <w:rFonts w:ascii="Cambria" w:hAnsi="Cambria" w:cs="Arial"/>
          <w:b/>
        </w:rPr>
        <w:t>ision for contingency for FY 2020-21</w:t>
      </w:r>
      <w:r w:rsidRPr="00873875">
        <w:rPr>
          <w:rFonts w:ascii="Cambria" w:hAnsi="Cambria" w:cs="Arial"/>
          <w:b/>
        </w:rPr>
        <w:t>.</w:t>
      </w:r>
    </w:p>
    <w:p w:rsidR="00002460" w:rsidRPr="00BF0E9D" w:rsidRDefault="00002460" w:rsidP="006935E2">
      <w:pPr>
        <w:pStyle w:val="Heading1"/>
        <w:numPr>
          <w:ilvl w:val="1"/>
          <w:numId w:val="9"/>
        </w:numPr>
        <w:spacing w:line="360" w:lineRule="auto"/>
        <w:ind w:left="1440"/>
        <w:jc w:val="both"/>
        <w:rPr>
          <w:rFonts w:ascii="Cambria" w:hAnsi="Cambria"/>
          <w:sz w:val="24"/>
          <w:szCs w:val="24"/>
        </w:rPr>
      </w:pPr>
      <w:bookmarkStart w:id="56" w:name="_Toc25850950"/>
      <w:r w:rsidRPr="00BF0E9D">
        <w:rPr>
          <w:rFonts w:ascii="Cambria" w:hAnsi="Cambria"/>
          <w:sz w:val="24"/>
          <w:szCs w:val="24"/>
        </w:rPr>
        <w:t>Reasonable Return</w:t>
      </w:r>
      <w:bookmarkEnd w:id="56"/>
    </w:p>
    <w:p w:rsidR="00002460" w:rsidRPr="00BF0E9D" w:rsidRDefault="00002460" w:rsidP="00002460">
      <w:pPr>
        <w:pStyle w:val="BodyText2"/>
        <w:spacing w:line="360" w:lineRule="auto"/>
        <w:ind w:left="720"/>
        <w:jc w:val="both"/>
        <w:rPr>
          <w:rFonts w:ascii="Cambria" w:hAnsi="Cambria" w:cs="Arial"/>
          <w:sz w:val="24"/>
          <w:szCs w:val="24"/>
        </w:rPr>
      </w:pPr>
      <w:r w:rsidRPr="00BF0E9D">
        <w:rPr>
          <w:rFonts w:ascii="Cambria" w:hAnsi="Cambria" w:cs="Arial"/>
          <w:sz w:val="24"/>
          <w:szCs w:val="24"/>
        </w:rPr>
        <w:t xml:space="preserve">The </w:t>
      </w:r>
      <w:r w:rsidR="006C38E9">
        <w:rPr>
          <w:rFonts w:ascii="Cambria" w:hAnsi="Cambria" w:cs="Arial"/>
          <w:sz w:val="24"/>
          <w:szCs w:val="24"/>
        </w:rPr>
        <w:t>Utility</w:t>
      </w:r>
      <w:r w:rsidRPr="00BF0E9D">
        <w:rPr>
          <w:rFonts w:ascii="Cambria" w:hAnsi="Cambria" w:cs="Arial"/>
          <w:sz w:val="24"/>
          <w:szCs w:val="24"/>
        </w:rPr>
        <w:t xml:space="preserve"> submits that due to the negative returns (Gaps) in the ARR and carry forward of huge Regulatory Assets in previous years, the </w:t>
      </w:r>
      <w:r w:rsidR="006C38E9">
        <w:rPr>
          <w:rFonts w:ascii="Cambria" w:hAnsi="Cambria" w:cs="Arial"/>
          <w:sz w:val="24"/>
          <w:szCs w:val="24"/>
        </w:rPr>
        <w:t>Utility</w:t>
      </w:r>
      <w:r w:rsidRPr="00BF0E9D">
        <w:rPr>
          <w:rFonts w:ascii="Cambria" w:hAnsi="Cambria" w:cs="Arial"/>
          <w:sz w:val="24"/>
          <w:szCs w:val="24"/>
        </w:rPr>
        <w:t xml:space="preserve"> could not avail the ROE over the years, which otherwise would have been invested in the Company for improvement of the infrastructure. As it is followed by various Commissions, the </w:t>
      </w:r>
      <w:r w:rsidR="006C38E9">
        <w:rPr>
          <w:rFonts w:ascii="Cambria" w:hAnsi="Cambria" w:cs="Arial"/>
          <w:sz w:val="24"/>
          <w:szCs w:val="24"/>
        </w:rPr>
        <w:t>Utility</w:t>
      </w:r>
      <w:r w:rsidRPr="00BF0E9D">
        <w:rPr>
          <w:rFonts w:ascii="Cambria" w:hAnsi="Cambria" w:cs="Arial"/>
          <w:sz w:val="24"/>
          <w:szCs w:val="24"/>
        </w:rPr>
        <w:t xml:space="preserve"> submits that the ROE to be allowed on the amount of the equity and the accrued ROE for the previous year. This would increase the availability of more funds for the consumer services.</w:t>
      </w:r>
    </w:p>
    <w:p w:rsidR="00002460" w:rsidRPr="00BF0E9D" w:rsidRDefault="00002460" w:rsidP="00002460">
      <w:pPr>
        <w:pStyle w:val="BodyText2"/>
        <w:spacing w:line="360" w:lineRule="auto"/>
        <w:ind w:left="720"/>
        <w:jc w:val="both"/>
        <w:rPr>
          <w:rFonts w:ascii="Cambria" w:hAnsi="Cambria" w:cs="Arial"/>
          <w:sz w:val="24"/>
          <w:szCs w:val="24"/>
        </w:rPr>
      </w:pPr>
      <w:r w:rsidRPr="00BF0E9D">
        <w:rPr>
          <w:rFonts w:ascii="Cambria" w:hAnsi="Cambria" w:cs="Arial"/>
          <w:sz w:val="24"/>
          <w:szCs w:val="24"/>
        </w:rPr>
        <w:t xml:space="preserve">Therefore, the </w:t>
      </w:r>
      <w:r w:rsidR="006C38E9">
        <w:rPr>
          <w:rFonts w:ascii="Cambria" w:hAnsi="Cambria" w:cs="Arial"/>
          <w:sz w:val="24"/>
          <w:szCs w:val="24"/>
        </w:rPr>
        <w:t>Utility</w:t>
      </w:r>
      <w:r w:rsidRPr="00BF0E9D">
        <w:rPr>
          <w:rFonts w:ascii="Cambria" w:hAnsi="Cambria" w:cs="Arial"/>
          <w:sz w:val="24"/>
          <w:szCs w:val="24"/>
        </w:rPr>
        <w:t xml:space="preserve"> has assumed reasonable return amounting to Rs. </w:t>
      </w:r>
      <w:r w:rsidR="003D69D3">
        <w:rPr>
          <w:rFonts w:ascii="Cambria" w:hAnsi="Cambria" w:cs="Arial"/>
          <w:sz w:val="24"/>
          <w:szCs w:val="24"/>
        </w:rPr>
        <w:t>10.55</w:t>
      </w:r>
      <w:r>
        <w:rPr>
          <w:rFonts w:ascii="Cambria" w:hAnsi="Cambria" w:cs="Arial"/>
          <w:sz w:val="24"/>
          <w:szCs w:val="24"/>
        </w:rPr>
        <w:t xml:space="preserve"> </w:t>
      </w:r>
      <w:r w:rsidRPr="00BF0E9D">
        <w:rPr>
          <w:rFonts w:ascii="Cambria" w:hAnsi="Cambria" w:cs="Arial"/>
          <w:sz w:val="24"/>
          <w:szCs w:val="24"/>
        </w:rPr>
        <w:t xml:space="preserve">Crore as calculated @ 16% on equity capital including the accrued ROE as per the earlier Orders of the Hon’ble Commission. </w:t>
      </w:r>
    </w:p>
    <w:p w:rsidR="004276A0" w:rsidRPr="00BF0E9D" w:rsidRDefault="00B71D2B" w:rsidP="006935E2">
      <w:pPr>
        <w:pStyle w:val="Heading1"/>
        <w:numPr>
          <w:ilvl w:val="1"/>
          <w:numId w:val="9"/>
        </w:numPr>
        <w:spacing w:line="360" w:lineRule="auto"/>
        <w:ind w:left="1440"/>
        <w:jc w:val="both"/>
        <w:rPr>
          <w:rFonts w:ascii="Cambria" w:hAnsi="Cambria"/>
          <w:sz w:val="24"/>
          <w:szCs w:val="24"/>
        </w:rPr>
      </w:pPr>
      <w:bookmarkStart w:id="57" w:name="_Toc25850951"/>
      <w:r>
        <w:rPr>
          <w:rFonts w:ascii="Cambria" w:hAnsi="Cambria"/>
          <w:sz w:val="24"/>
          <w:szCs w:val="24"/>
        </w:rPr>
        <w:lastRenderedPageBreak/>
        <w:t xml:space="preserve">Current year </w:t>
      </w:r>
      <w:r w:rsidR="000228BC">
        <w:rPr>
          <w:rFonts w:ascii="Cambria" w:hAnsi="Cambria"/>
          <w:sz w:val="24"/>
          <w:szCs w:val="24"/>
        </w:rPr>
        <w:t>FY 2019-20</w:t>
      </w:r>
      <w:r>
        <w:rPr>
          <w:rFonts w:ascii="Cambria" w:hAnsi="Cambria"/>
          <w:sz w:val="24"/>
          <w:szCs w:val="24"/>
        </w:rPr>
        <w:t>’s GAP</w:t>
      </w:r>
      <w:bookmarkEnd w:id="57"/>
    </w:p>
    <w:p w:rsidR="00B71D2B" w:rsidRPr="00757C3F" w:rsidRDefault="004276A0" w:rsidP="00757C3F">
      <w:pPr>
        <w:pStyle w:val="BodyText2"/>
        <w:spacing w:line="360" w:lineRule="auto"/>
        <w:ind w:left="720"/>
        <w:jc w:val="both"/>
        <w:rPr>
          <w:rFonts w:ascii="Cambria" w:hAnsi="Cambria" w:cs="Arial"/>
          <w:sz w:val="24"/>
          <w:szCs w:val="24"/>
        </w:rPr>
      </w:pPr>
      <w:r w:rsidRPr="00757C3F">
        <w:rPr>
          <w:rFonts w:ascii="Cambria" w:hAnsi="Cambria" w:cs="Arial"/>
          <w:sz w:val="24"/>
          <w:szCs w:val="24"/>
        </w:rPr>
        <w:t>Further based on the actual sales, revenue and expenses for the first half of the current year 201</w:t>
      </w:r>
      <w:r w:rsidR="000228BC">
        <w:rPr>
          <w:rFonts w:ascii="Cambria" w:hAnsi="Cambria" w:cs="Arial"/>
          <w:sz w:val="24"/>
          <w:szCs w:val="24"/>
        </w:rPr>
        <w:t>9-20</w:t>
      </w:r>
      <w:r w:rsidRPr="00757C3F">
        <w:rPr>
          <w:rFonts w:ascii="Cambria" w:hAnsi="Cambria" w:cs="Arial"/>
          <w:sz w:val="24"/>
          <w:szCs w:val="24"/>
        </w:rPr>
        <w:t xml:space="preserve"> and based on estimates for next half of current year, the uncovered gap for FY 201</w:t>
      </w:r>
      <w:r w:rsidR="000228BC">
        <w:rPr>
          <w:rFonts w:ascii="Cambria" w:hAnsi="Cambria" w:cs="Arial"/>
          <w:sz w:val="24"/>
          <w:szCs w:val="24"/>
        </w:rPr>
        <w:t>9-20</w:t>
      </w:r>
      <w:r w:rsidRPr="00757C3F">
        <w:rPr>
          <w:rFonts w:ascii="Cambria" w:hAnsi="Cambria" w:cs="Arial"/>
          <w:sz w:val="24"/>
          <w:szCs w:val="24"/>
        </w:rPr>
        <w:t xml:space="preserve"> is </w:t>
      </w:r>
      <w:r w:rsidRPr="00880E01">
        <w:rPr>
          <w:rFonts w:ascii="Cambria" w:hAnsi="Cambria" w:cs="Arial"/>
          <w:sz w:val="24"/>
          <w:szCs w:val="24"/>
        </w:rPr>
        <w:t>Rs</w:t>
      </w:r>
      <w:r w:rsidR="0028159F" w:rsidRPr="00880E01">
        <w:rPr>
          <w:rFonts w:ascii="Cambria" w:hAnsi="Cambria" w:cs="Arial"/>
          <w:sz w:val="24"/>
          <w:szCs w:val="24"/>
        </w:rPr>
        <w:t>.</w:t>
      </w:r>
      <w:r w:rsidR="000228BC">
        <w:rPr>
          <w:rFonts w:ascii="Cambria" w:hAnsi="Cambria" w:cs="Arial"/>
          <w:sz w:val="24"/>
          <w:szCs w:val="24"/>
        </w:rPr>
        <w:t>86.</w:t>
      </w:r>
      <w:r w:rsidR="00880E01" w:rsidRPr="00880E01">
        <w:rPr>
          <w:rFonts w:ascii="Cambria" w:hAnsi="Cambria" w:cs="Arial"/>
          <w:sz w:val="24"/>
          <w:szCs w:val="24"/>
        </w:rPr>
        <w:t>8</w:t>
      </w:r>
      <w:r w:rsidR="000228BC">
        <w:rPr>
          <w:rFonts w:ascii="Cambria" w:hAnsi="Cambria" w:cs="Arial"/>
          <w:sz w:val="24"/>
          <w:szCs w:val="24"/>
        </w:rPr>
        <w:t>7</w:t>
      </w:r>
      <w:r w:rsidR="0028159F" w:rsidRPr="00880E01">
        <w:rPr>
          <w:rFonts w:ascii="Cambria" w:hAnsi="Cambria" w:cs="Arial"/>
          <w:sz w:val="24"/>
          <w:szCs w:val="24"/>
        </w:rPr>
        <w:t xml:space="preserve"> </w:t>
      </w:r>
      <w:r w:rsidRPr="00880E01">
        <w:rPr>
          <w:rFonts w:ascii="Cambria" w:hAnsi="Cambria" w:cs="Arial"/>
          <w:sz w:val="24"/>
          <w:szCs w:val="24"/>
        </w:rPr>
        <w:t>Crore</w:t>
      </w:r>
      <w:r w:rsidR="000228BC">
        <w:rPr>
          <w:rFonts w:ascii="Cambria" w:hAnsi="Cambria" w:cs="Arial"/>
          <w:sz w:val="24"/>
          <w:szCs w:val="24"/>
        </w:rPr>
        <w:t xml:space="preserve"> as against the surplus of Rs 0.12</w:t>
      </w:r>
      <w:r w:rsidRPr="00757C3F">
        <w:rPr>
          <w:rFonts w:ascii="Cambria" w:hAnsi="Cambria" w:cs="Arial"/>
          <w:sz w:val="24"/>
          <w:szCs w:val="24"/>
        </w:rPr>
        <w:t xml:space="preserve"> Crore a</w:t>
      </w:r>
      <w:r w:rsidR="00B71D2B" w:rsidRPr="00757C3F">
        <w:rPr>
          <w:rFonts w:ascii="Cambria" w:hAnsi="Cambria" w:cs="Arial"/>
          <w:sz w:val="24"/>
          <w:szCs w:val="24"/>
        </w:rPr>
        <w:t>pproved by Hon’ble Commission</w:t>
      </w:r>
      <w:r w:rsidRPr="00757C3F">
        <w:rPr>
          <w:rFonts w:ascii="Cambria" w:hAnsi="Cambria" w:cs="Arial"/>
          <w:sz w:val="24"/>
          <w:szCs w:val="24"/>
        </w:rPr>
        <w:t>.</w:t>
      </w:r>
      <w:r w:rsidR="001E3699" w:rsidRPr="00757C3F">
        <w:rPr>
          <w:rFonts w:ascii="Cambria" w:hAnsi="Cambria" w:cs="Arial"/>
          <w:sz w:val="24"/>
          <w:szCs w:val="24"/>
        </w:rPr>
        <w:tab/>
      </w:r>
      <w:r w:rsidR="001E3699" w:rsidRPr="00757C3F">
        <w:rPr>
          <w:rFonts w:ascii="Cambria" w:hAnsi="Cambria" w:cs="Arial"/>
          <w:sz w:val="24"/>
          <w:szCs w:val="24"/>
        </w:rPr>
        <w:tab/>
      </w:r>
    </w:p>
    <w:p w:rsidR="004276A0" w:rsidRDefault="001E3699" w:rsidP="004276A0">
      <w:pPr>
        <w:spacing w:line="360" w:lineRule="auto"/>
        <w:jc w:val="both"/>
        <w:rPr>
          <w:rFonts w:ascii="Cambria" w:hAnsi="Cambria" w:cs="Arial"/>
          <w:b/>
        </w:rPr>
      </w:pPr>
      <w:r w:rsidRPr="00345D14">
        <w:rPr>
          <w:rFonts w:ascii="Cambria" w:hAnsi="Cambria" w:cs="Arial"/>
          <w:b/>
        </w:rPr>
        <w:t xml:space="preserve">Statement of </w:t>
      </w:r>
      <w:r w:rsidR="00B71D2B" w:rsidRPr="00345D14">
        <w:rPr>
          <w:rFonts w:ascii="Cambria" w:hAnsi="Cambria" w:cs="Arial"/>
          <w:b/>
        </w:rPr>
        <w:t>Current</w:t>
      </w:r>
      <w:r w:rsidR="00757C3F" w:rsidRPr="00345D14">
        <w:rPr>
          <w:rFonts w:ascii="Cambria" w:hAnsi="Cambria" w:cs="Arial"/>
          <w:b/>
        </w:rPr>
        <w:t>’s</w:t>
      </w:r>
      <w:r w:rsidR="00B71D2B" w:rsidRPr="00345D14">
        <w:rPr>
          <w:rFonts w:ascii="Cambria" w:hAnsi="Cambria" w:cs="Arial"/>
          <w:b/>
        </w:rPr>
        <w:t xml:space="preserve"> Year GAP</w:t>
      </w:r>
    </w:p>
    <w:tbl>
      <w:tblPr>
        <w:tblW w:w="8582" w:type="dxa"/>
        <w:tblLook w:val="04A0"/>
      </w:tblPr>
      <w:tblGrid>
        <w:gridCol w:w="2422"/>
        <w:gridCol w:w="1540"/>
        <w:gridCol w:w="1540"/>
        <w:gridCol w:w="1540"/>
        <w:gridCol w:w="1540"/>
      </w:tblGrid>
      <w:tr w:rsidR="00880E01" w:rsidRPr="00345D14" w:rsidTr="00880E01">
        <w:trPr>
          <w:trHeight w:val="480"/>
        </w:trPr>
        <w:tc>
          <w:tcPr>
            <w:tcW w:w="2422"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880E01" w:rsidRPr="00EF6017" w:rsidRDefault="00880E01">
            <w:pPr>
              <w:rPr>
                <w:rFonts w:ascii="Cambria" w:hAnsi="Cambria" w:cs="Arial"/>
              </w:rPr>
            </w:pPr>
            <w:r w:rsidRPr="00EF6017">
              <w:rPr>
                <w:rFonts w:ascii="Cambria" w:hAnsi="Cambria" w:cs="Arial"/>
              </w:rPr>
              <w:t> </w:t>
            </w:r>
          </w:p>
        </w:tc>
        <w:tc>
          <w:tcPr>
            <w:tcW w:w="1540" w:type="dxa"/>
            <w:tcBorders>
              <w:top w:val="single" w:sz="8" w:space="0" w:color="auto"/>
              <w:left w:val="nil"/>
              <w:bottom w:val="single" w:sz="8" w:space="0" w:color="auto"/>
              <w:right w:val="single" w:sz="8" w:space="0" w:color="auto"/>
            </w:tcBorders>
            <w:shd w:val="clear" w:color="auto" w:fill="auto"/>
            <w:vAlign w:val="center"/>
            <w:hideMark/>
          </w:tcPr>
          <w:p w:rsidR="00880E01" w:rsidRPr="00EF6017" w:rsidRDefault="00880E01">
            <w:pPr>
              <w:rPr>
                <w:rFonts w:ascii="Cambria" w:hAnsi="Cambria" w:cs="Arial"/>
                <w:b/>
                <w:bCs/>
              </w:rPr>
            </w:pPr>
            <w:r w:rsidRPr="00EF6017">
              <w:rPr>
                <w:rFonts w:ascii="Cambria" w:hAnsi="Cambria" w:cs="Arial"/>
                <w:b/>
                <w:bCs/>
              </w:rPr>
              <w:t>Unit</w:t>
            </w:r>
          </w:p>
        </w:tc>
        <w:tc>
          <w:tcPr>
            <w:tcW w:w="15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80E01" w:rsidRPr="00EF6017" w:rsidRDefault="00880E01">
            <w:pPr>
              <w:rPr>
                <w:rFonts w:ascii="Cambria" w:hAnsi="Cambria" w:cs="Arial"/>
                <w:b/>
                <w:bCs/>
              </w:rPr>
            </w:pPr>
            <w:r w:rsidRPr="00EF6017">
              <w:rPr>
                <w:rFonts w:ascii="Cambria" w:hAnsi="Cambria" w:cs="Arial"/>
                <w:b/>
                <w:bCs/>
              </w:rPr>
              <w:t>OERC Approval</w:t>
            </w:r>
          </w:p>
        </w:tc>
        <w:tc>
          <w:tcPr>
            <w:tcW w:w="15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80E01" w:rsidRPr="00EF6017" w:rsidRDefault="00880E01">
            <w:pPr>
              <w:rPr>
                <w:rFonts w:ascii="Cambria" w:hAnsi="Cambria" w:cs="Arial"/>
                <w:b/>
                <w:bCs/>
              </w:rPr>
            </w:pPr>
            <w:r w:rsidRPr="00EF6017">
              <w:rPr>
                <w:rFonts w:ascii="Cambria" w:hAnsi="Cambria" w:cs="Arial"/>
                <w:b/>
                <w:bCs/>
              </w:rPr>
              <w:t>Estmd.</w:t>
            </w:r>
          </w:p>
        </w:tc>
        <w:tc>
          <w:tcPr>
            <w:tcW w:w="15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80E01" w:rsidRPr="00EF6017" w:rsidRDefault="00880E01">
            <w:pPr>
              <w:rPr>
                <w:rFonts w:ascii="Cambria" w:hAnsi="Cambria" w:cs="Arial"/>
                <w:b/>
                <w:bCs/>
              </w:rPr>
            </w:pPr>
            <w:r w:rsidRPr="00EF6017">
              <w:rPr>
                <w:rFonts w:ascii="Cambria" w:hAnsi="Cambria" w:cs="Arial"/>
                <w:b/>
                <w:bCs/>
              </w:rPr>
              <w:t>Diff</w:t>
            </w:r>
          </w:p>
        </w:tc>
      </w:tr>
      <w:tr w:rsidR="00880E01" w:rsidRPr="00345D14" w:rsidTr="00880E01">
        <w:trPr>
          <w:trHeight w:val="480"/>
        </w:trPr>
        <w:tc>
          <w:tcPr>
            <w:tcW w:w="2422" w:type="dxa"/>
            <w:vMerge/>
            <w:tcBorders>
              <w:top w:val="single" w:sz="8" w:space="0" w:color="auto"/>
              <w:left w:val="single" w:sz="8" w:space="0" w:color="auto"/>
              <w:bottom w:val="single" w:sz="8" w:space="0" w:color="000000"/>
              <w:right w:val="single" w:sz="8" w:space="0" w:color="auto"/>
            </w:tcBorders>
            <w:vAlign w:val="center"/>
            <w:hideMark/>
          </w:tcPr>
          <w:p w:rsidR="00880E01" w:rsidRPr="00EF6017" w:rsidRDefault="00880E01">
            <w:pPr>
              <w:rPr>
                <w:rFonts w:ascii="Cambria" w:hAnsi="Cambria" w:cs="Arial"/>
              </w:rPr>
            </w:pPr>
          </w:p>
        </w:tc>
        <w:tc>
          <w:tcPr>
            <w:tcW w:w="1540" w:type="dxa"/>
            <w:tcBorders>
              <w:top w:val="nil"/>
              <w:left w:val="nil"/>
              <w:bottom w:val="single" w:sz="8" w:space="0" w:color="auto"/>
              <w:right w:val="single" w:sz="8" w:space="0" w:color="auto"/>
            </w:tcBorders>
            <w:shd w:val="clear" w:color="auto" w:fill="auto"/>
            <w:vAlign w:val="center"/>
            <w:hideMark/>
          </w:tcPr>
          <w:p w:rsidR="00880E01" w:rsidRPr="00EF6017" w:rsidRDefault="00880E01">
            <w:pPr>
              <w:rPr>
                <w:rFonts w:ascii="Cambria" w:hAnsi="Cambria" w:cs="Arial"/>
                <w:b/>
                <w:bCs/>
              </w:rPr>
            </w:pPr>
            <w:r w:rsidRPr="00EF6017">
              <w:rPr>
                <w:rFonts w:ascii="Cambria" w:hAnsi="Cambria" w:cs="Arial"/>
                <w:b/>
                <w:bCs/>
              </w:rPr>
              <w:t>MU</w:t>
            </w:r>
          </w:p>
        </w:tc>
        <w:tc>
          <w:tcPr>
            <w:tcW w:w="1540" w:type="dxa"/>
            <w:vMerge/>
            <w:tcBorders>
              <w:top w:val="single" w:sz="8" w:space="0" w:color="auto"/>
              <w:left w:val="single" w:sz="8" w:space="0" w:color="auto"/>
              <w:bottom w:val="single" w:sz="8" w:space="0" w:color="000000"/>
              <w:right w:val="single" w:sz="8" w:space="0" w:color="auto"/>
            </w:tcBorders>
            <w:vAlign w:val="center"/>
            <w:hideMark/>
          </w:tcPr>
          <w:p w:rsidR="00880E01" w:rsidRPr="00EF6017" w:rsidRDefault="00880E01">
            <w:pPr>
              <w:rPr>
                <w:rFonts w:ascii="Cambria" w:hAnsi="Cambria" w:cs="Arial"/>
                <w:b/>
                <w:bCs/>
              </w:rPr>
            </w:pPr>
          </w:p>
        </w:tc>
        <w:tc>
          <w:tcPr>
            <w:tcW w:w="1540" w:type="dxa"/>
            <w:vMerge/>
            <w:tcBorders>
              <w:top w:val="single" w:sz="8" w:space="0" w:color="auto"/>
              <w:left w:val="single" w:sz="8" w:space="0" w:color="auto"/>
              <w:bottom w:val="single" w:sz="8" w:space="0" w:color="000000"/>
              <w:right w:val="single" w:sz="8" w:space="0" w:color="auto"/>
            </w:tcBorders>
            <w:vAlign w:val="center"/>
            <w:hideMark/>
          </w:tcPr>
          <w:p w:rsidR="00880E01" w:rsidRPr="00EF6017" w:rsidRDefault="00880E01">
            <w:pPr>
              <w:rPr>
                <w:rFonts w:ascii="Cambria" w:hAnsi="Cambria" w:cs="Arial"/>
                <w:b/>
                <w:bCs/>
              </w:rPr>
            </w:pPr>
          </w:p>
        </w:tc>
        <w:tc>
          <w:tcPr>
            <w:tcW w:w="1540" w:type="dxa"/>
            <w:vMerge/>
            <w:tcBorders>
              <w:top w:val="single" w:sz="8" w:space="0" w:color="auto"/>
              <w:left w:val="single" w:sz="8" w:space="0" w:color="auto"/>
              <w:bottom w:val="single" w:sz="8" w:space="0" w:color="000000"/>
              <w:right w:val="single" w:sz="8" w:space="0" w:color="auto"/>
            </w:tcBorders>
            <w:vAlign w:val="center"/>
            <w:hideMark/>
          </w:tcPr>
          <w:p w:rsidR="00880E01" w:rsidRPr="00EF6017" w:rsidRDefault="00880E01">
            <w:pPr>
              <w:rPr>
                <w:rFonts w:ascii="Cambria" w:hAnsi="Cambria" w:cs="Arial"/>
                <w:b/>
                <w:bCs/>
              </w:rPr>
            </w:pPr>
          </w:p>
        </w:tc>
      </w:tr>
      <w:tr w:rsidR="00880E01" w:rsidRPr="00345D14" w:rsidTr="00880E01">
        <w:trPr>
          <w:trHeight w:val="480"/>
        </w:trPr>
        <w:tc>
          <w:tcPr>
            <w:tcW w:w="2422" w:type="dxa"/>
            <w:tcBorders>
              <w:top w:val="nil"/>
              <w:left w:val="single" w:sz="8" w:space="0" w:color="auto"/>
              <w:bottom w:val="single" w:sz="8" w:space="0" w:color="auto"/>
              <w:right w:val="single" w:sz="8" w:space="0" w:color="auto"/>
            </w:tcBorders>
            <w:shd w:val="clear" w:color="auto" w:fill="auto"/>
            <w:noWrap/>
            <w:vAlign w:val="center"/>
            <w:hideMark/>
          </w:tcPr>
          <w:p w:rsidR="00880E01" w:rsidRPr="00EF6017" w:rsidRDefault="00880E01">
            <w:pPr>
              <w:rPr>
                <w:rFonts w:ascii="Cambria" w:hAnsi="Cambria" w:cs="Arial"/>
                <w:i/>
                <w:iCs/>
              </w:rPr>
            </w:pPr>
            <w:r w:rsidRPr="00EF6017">
              <w:rPr>
                <w:rFonts w:ascii="Cambria" w:hAnsi="Cambria" w:cs="Arial"/>
                <w:i/>
                <w:iCs/>
              </w:rPr>
              <w:t>No of Units – sale</w:t>
            </w:r>
          </w:p>
        </w:tc>
        <w:tc>
          <w:tcPr>
            <w:tcW w:w="1540" w:type="dxa"/>
            <w:tcBorders>
              <w:top w:val="nil"/>
              <w:left w:val="nil"/>
              <w:bottom w:val="single" w:sz="8" w:space="0" w:color="auto"/>
              <w:right w:val="single" w:sz="8" w:space="0" w:color="auto"/>
            </w:tcBorders>
            <w:shd w:val="clear" w:color="auto" w:fill="auto"/>
            <w:vAlign w:val="center"/>
            <w:hideMark/>
          </w:tcPr>
          <w:p w:rsidR="00880E01" w:rsidRPr="00EF6017" w:rsidRDefault="00880E01">
            <w:pPr>
              <w:rPr>
                <w:rFonts w:ascii="Cambria" w:hAnsi="Cambria" w:cs="Arial"/>
                <w:i/>
                <w:iCs/>
              </w:rPr>
            </w:pPr>
            <w:r w:rsidRPr="00EF6017">
              <w:rPr>
                <w:rFonts w:ascii="Cambria" w:hAnsi="Cambria" w:cs="Arial"/>
                <w:i/>
                <w:iCs/>
              </w:rPr>
              <w:t>MU</w:t>
            </w:r>
          </w:p>
        </w:tc>
        <w:tc>
          <w:tcPr>
            <w:tcW w:w="1540" w:type="dxa"/>
            <w:tcBorders>
              <w:top w:val="nil"/>
              <w:left w:val="nil"/>
              <w:bottom w:val="single" w:sz="8" w:space="0" w:color="auto"/>
              <w:right w:val="single" w:sz="8" w:space="0" w:color="auto"/>
            </w:tcBorders>
            <w:shd w:val="clear" w:color="auto" w:fill="auto"/>
            <w:vAlign w:val="center"/>
            <w:hideMark/>
          </w:tcPr>
          <w:p w:rsidR="00EF6017" w:rsidRPr="00EF6017" w:rsidRDefault="00EF6017">
            <w:pPr>
              <w:jc w:val="right"/>
              <w:rPr>
                <w:rFonts w:ascii="Cambria" w:hAnsi="Cambria" w:cs="Arial"/>
                <w:i/>
                <w:iCs/>
                <w:sz w:val="22"/>
                <w:szCs w:val="22"/>
              </w:rPr>
            </w:pPr>
          </w:p>
          <w:p w:rsidR="00880E01" w:rsidRPr="00EF6017" w:rsidRDefault="00EF6017">
            <w:pPr>
              <w:jc w:val="right"/>
              <w:rPr>
                <w:rFonts w:ascii="Cambria" w:hAnsi="Cambria" w:cs="Arial"/>
                <w:i/>
                <w:iCs/>
                <w:sz w:val="22"/>
                <w:szCs w:val="22"/>
              </w:rPr>
            </w:pPr>
            <w:r w:rsidRPr="00EF6017">
              <w:rPr>
                <w:rFonts w:ascii="Cambria" w:hAnsi="Cambria" w:cs="Arial"/>
                <w:i/>
                <w:iCs/>
                <w:sz w:val="22"/>
                <w:szCs w:val="22"/>
              </w:rPr>
              <w:t>5152.12</w:t>
            </w:r>
          </w:p>
          <w:p w:rsidR="00EF6017" w:rsidRPr="00EF6017" w:rsidRDefault="00EF6017">
            <w:pPr>
              <w:jc w:val="right"/>
              <w:rPr>
                <w:rFonts w:ascii="Cambria" w:hAnsi="Cambria" w:cs="Arial"/>
                <w:i/>
                <w:iCs/>
                <w:sz w:val="22"/>
                <w:szCs w:val="22"/>
              </w:rPr>
            </w:pPr>
          </w:p>
        </w:tc>
        <w:tc>
          <w:tcPr>
            <w:tcW w:w="1540" w:type="dxa"/>
            <w:tcBorders>
              <w:top w:val="nil"/>
              <w:left w:val="nil"/>
              <w:bottom w:val="single" w:sz="8" w:space="0" w:color="auto"/>
              <w:right w:val="single" w:sz="8" w:space="0" w:color="auto"/>
            </w:tcBorders>
            <w:shd w:val="clear" w:color="auto" w:fill="auto"/>
            <w:vAlign w:val="center"/>
            <w:hideMark/>
          </w:tcPr>
          <w:p w:rsidR="00880E01" w:rsidRPr="00EF6017" w:rsidRDefault="00EF6017">
            <w:pPr>
              <w:jc w:val="right"/>
              <w:rPr>
                <w:rFonts w:ascii="Cambria" w:hAnsi="Cambria" w:cs="Arial"/>
                <w:i/>
                <w:iCs/>
                <w:sz w:val="22"/>
                <w:szCs w:val="22"/>
              </w:rPr>
            </w:pPr>
            <w:r w:rsidRPr="00EF6017">
              <w:rPr>
                <w:rFonts w:ascii="Cambria" w:hAnsi="Cambria" w:cs="Arial"/>
                <w:i/>
                <w:iCs/>
                <w:sz w:val="22"/>
                <w:szCs w:val="22"/>
              </w:rPr>
              <w:t>4927.48</w:t>
            </w:r>
          </w:p>
        </w:tc>
        <w:tc>
          <w:tcPr>
            <w:tcW w:w="1540" w:type="dxa"/>
            <w:tcBorders>
              <w:top w:val="nil"/>
              <w:left w:val="nil"/>
              <w:bottom w:val="single" w:sz="8" w:space="0" w:color="auto"/>
              <w:right w:val="single" w:sz="8" w:space="0" w:color="auto"/>
            </w:tcBorders>
            <w:shd w:val="clear" w:color="auto" w:fill="auto"/>
            <w:vAlign w:val="center"/>
            <w:hideMark/>
          </w:tcPr>
          <w:p w:rsidR="00880E01" w:rsidRPr="00EF6017" w:rsidRDefault="00EF6017">
            <w:pPr>
              <w:jc w:val="right"/>
              <w:rPr>
                <w:rFonts w:ascii="Cambria" w:hAnsi="Cambria" w:cs="Arial"/>
                <w:i/>
                <w:iCs/>
                <w:sz w:val="22"/>
                <w:szCs w:val="22"/>
              </w:rPr>
            </w:pPr>
            <w:r w:rsidRPr="00EF6017">
              <w:rPr>
                <w:rFonts w:ascii="Cambria" w:hAnsi="Cambria" w:cs="Arial"/>
                <w:i/>
                <w:iCs/>
                <w:sz w:val="22"/>
                <w:szCs w:val="22"/>
              </w:rPr>
              <w:t>(224.64)</w:t>
            </w:r>
          </w:p>
        </w:tc>
      </w:tr>
      <w:tr w:rsidR="00880E01" w:rsidRPr="00345D14"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Pr="00EF6017" w:rsidRDefault="00880E01">
            <w:pPr>
              <w:rPr>
                <w:rFonts w:ascii="Cambria" w:hAnsi="Cambria" w:cs="Arial"/>
                <w:i/>
                <w:iCs/>
              </w:rPr>
            </w:pPr>
            <w:r w:rsidRPr="00EF6017">
              <w:rPr>
                <w:rFonts w:ascii="Cambria" w:hAnsi="Cambria" w:cs="Arial"/>
                <w:i/>
                <w:iCs/>
              </w:rPr>
              <w:t>RST per unit</w:t>
            </w:r>
          </w:p>
        </w:tc>
        <w:tc>
          <w:tcPr>
            <w:tcW w:w="1540" w:type="dxa"/>
            <w:tcBorders>
              <w:top w:val="nil"/>
              <w:left w:val="nil"/>
              <w:bottom w:val="single" w:sz="8" w:space="0" w:color="auto"/>
              <w:right w:val="single" w:sz="8" w:space="0" w:color="auto"/>
            </w:tcBorders>
            <w:shd w:val="clear" w:color="000000" w:fill="FFFFFF"/>
            <w:vAlign w:val="center"/>
            <w:hideMark/>
          </w:tcPr>
          <w:p w:rsidR="00880E01" w:rsidRPr="00EF6017" w:rsidRDefault="00880E01">
            <w:pPr>
              <w:rPr>
                <w:rFonts w:ascii="Cambria" w:hAnsi="Cambria" w:cs="Arial"/>
                <w:i/>
                <w:iCs/>
              </w:rPr>
            </w:pPr>
            <w:r w:rsidRPr="00EF6017">
              <w:rPr>
                <w:rFonts w:ascii="Cambria" w:hAnsi="Cambria" w:cs="Arial"/>
                <w:i/>
                <w:iCs/>
              </w:rPr>
              <w:t>Rs/Kwh</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EF6017">
            <w:pPr>
              <w:jc w:val="right"/>
              <w:rPr>
                <w:rFonts w:ascii="Cambria" w:hAnsi="Cambria" w:cs="Arial"/>
                <w:i/>
                <w:iCs/>
                <w:sz w:val="22"/>
                <w:szCs w:val="22"/>
              </w:rPr>
            </w:pPr>
            <w:r w:rsidRPr="00EF6017">
              <w:rPr>
                <w:rFonts w:ascii="Cambria" w:hAnsi="Cambria" w:cs="Arial"/>
                <w:i/>
                <w:iCs/>
                <w:sz w:val="22"/>
                <w:szCs w:val="22"/>
              </w:rPr>
              <w:t>4.86</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EF6017">
            <w:pPr>
              <w:jc w:val="right"/>
              <w:rPr>
                <w:rFonts w:ascii="Cambria" w:hAnsi="Cambria" w:cs="Arial"/>
                <w:i/>
                <w:iCs/>
                <w:sz w:val="22"/>
                <w:szCs w:val="22"/>
              </w:rPr>
            </w:pPr>
            <w:r w:rsidRPr="00EF6017">
              <w:rPr>
                <w:rFonts w:ascii="Cambria" w:hAnsi="Cambria" w:cs="Arial"/>
                <w:i/>
                <w:iCs/>
                <w:sz w:val="22"/>
                <w:szCs w:val="22"/>
              </w:rPr>
              <w:t>4.98</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880E01">
            <w:pPr>
              <w:jc w:val="right"/>
              <w:rPr>
                <w:rFonts w:ascii="Cambria" w:hAnsi="Cambria" w:cs="Arial"/>
                <w:sz w:val="22"/>
                <w:szCs w:val="22"/>
              </w:rPr>
            </w:pPr>
            <w:r w:rsidRPr="00EF6017">
              <w:rPr>
                <w:rFonts w:ascii="Cambria" w:hAnsi="Cambria" w:cs="Arial"/>
                <w:sz w:val="22"/>
                <w:szCs w:val="22"/>
              </w:rPr>
              <w:t> </w:t>
            </w:r>
          </w:p>
        </w:tc>
      </w:tr>
      <w:tr w:rsidR="00880E01" w:rsidRPr="00345D14"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Pr="00EF6017" w:rsidRDefault="00880E01">
            <w:pPr>
              <w:rPr>
                <w:rFonts w:ascii="Cambria" w:hAnsi="Cambria" w:cs="Arial"/>
              </w:rPr>
            </w:pPr>
            <w:r w:rsidRPr="00EF6017">
              <w:rPr>
                <w:rFonts w:ascii="Cambria" w:hAnsi="Cambria" w:cs="Arial"/>
              </w:rPr>
              <w:t>Sales</w:t>
            </w:r>
          </w:p>
        </w:tc>
        <w:tc>
          <w:tcPr>
            <w:tcW w:w="1540" w:type="dxa"/>
            <w:tcBorders>
              <w:top w:val="nil"/>
              <w:left w:val="nil"/>
              <w:bottom w:val="single" w:sz="8" w:space="0" w:color="auto"/>
              <w:right w:val="single" w:sz="8" w:space="0" w:color="auto"/>
            </w:tcBorders>
            <w:shd w:val="clear" w:color="000000" w:fill="FFFFFF"/>
            <w:vAlign w:val="center"/>
            <w:hideMark/>
          </w:tcPr>
          <w:p w:rsidR="00880E01" w:rsidRPr="00EF6017" w:rsidRDefault="00880E01">
            <w:pPr>
              <w:rPr>
                <w:rFonts w:ascii="Cambria" w:hAnsi="Cambria" w:cs="Arial"/>
              </w:rPr>
            </w:pPr>
            <w:r w:rsidRPr="00EF6017">
              <w:rPr>
                <w:rFonts w:ascii="Cambria" w:hAnsi="Cambria" w:cs="Arial"/>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EF6017">
            <w:pPr>
              <w:jc w:val="right"/>
              <w:rPr>
                <w:rFonts w:ascii="Cambria" w:hAnsi="Cambria" w:cs="Arial"/>
                <w:sz w:val="22"/>
                <w:szCs w:val="22"/>
              </w:rPr>
            </w:pPr>
            <w:r w:rsidRPr="00EF6017">
              <w:rPr>
                <w:rFonts w:ascii="Cambria" w:hAnsi="Cambria" w:cs="Arial"/>
                <w:sz w:val="22"/>
                <w:szCs w:val="22"/>
              </w:rPr>
              <w:t>2503.90</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EF6017">
            <w:pPr>
              <w:jc w:val="right"/>
              <w:rPr>
                <w:rFonts w:ascii="Cambria" w:hAnsi="Cambria" w:cs="Arial"/>
                <w:sz w:val="22"/>
                <w:szCs w:val="22"/>
              </w:rPr>
            </w:pPr>
            <w:r w:rsidRPr="00EF6017">
              <w:rPr>
                <w:rFonts w:ascii="Cambria" w:hAnsi="Cambria" w:cs="Arial"/>
                <w:sz w:val="22"/>
                <w:szCs w:val="22"/>
              </w:rPr>
              <w:t>2453.25</w:t>
            </w:r>
          </w:p>
        </w:tc>
        <w:tc>
          <w:tcPr>
            <w:tcW w:w="1540" w:type="dxa"/>
            <w:tcBorders>
              <w:top w:val="nil"/>
              <w:left w:val="nil"/>
              <w:bottom w:val="single" w:sz="8" w:space="0" w:color="auto"/>
              <w:right w:val="single" w:sz="8" w:space="0" w:color="auto"/>
            </w:tcBorders>
            <w:shd w:val="clear" w:color="auto" w:fill="auto"/>
            <w:vAlign w:val="center"/>
            <w:hideMark/>
          </w:tcPr>
          <w:p w:rsidR="00880E01" w:rsidRPr="00EF6017" w:rsidRDefault="00EF6017">
            <w:pPr>
              <w:jc w:val="right"/>
              <w:rPr>
                <w:rFonts w:ascii="Cambria" w:hAnsi="Cambria" w:cs="Arial"/>
                <w:i/>
                <w:iCs/>
                <w:sz w:val="22"/>
                <w:szCs w:val="22"/>
              </w:rPr>
            </w:pPr>
            <w:r w:rsidRPr="00EF6017">
              <w:rPr>
                <w:rFonts w:ascii="Cambria" w:hAnsi="Cambria" w:cs="Arial"/>
                <w:i/>
                <w:iCs/>
                <w:sz w:val="22"/>
                <w:szCs w:val="22"/>
              </w:rPr>
              <w:t>(50.65)</w:t>
            </w:r>
          </w:p>
        </w:tc>
      </w:tr>
      <w:tr w:rsidR="00880E01" w:rsidRPr="00345D14"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Pr="00EF6017" w:rsidRDefault="00880E01">
            <w:pPr>
              <w:rPr>
                <w:rFonts w:ascii="Cambria" w:hAnsi="Cambria" w:cs="Arial"/>
              </w:rPr>
            </w:pPr>
            <w:r w:rsidRPr="00EF6017">
              <w:rPr>
                <w:rFonts w:ascii="Cambria" w:hAnsi="Cambria" w:cs="Arial"/>
              </w:rPr>
              <w:t>Less-Bad Debts</w:t>
            </w:r>
          </w:p>
        </w:tc>
        <w:tc>
          <w:tcPr>
            <w:tcW w:w="1540" w:type="dxa"/>
            <w:tcBorders>
              <w:top w:val="nil"/>
              <w:left w:val="nil"/>
              <w:bottom w:val="single" w:sz="8" w:space="0" w:color="auto"/>
              <w:right w:val="single" w:sz="8" w:space="0" w:color="auto"/>
            </w:tcBorders>
            <w:shd w:val="clear" w:color="000000" w:fill="FFFFFF"/>
            <w:vAlign w:val="center"/>
            <w:hideMark/>
          </w:tcPr>
          <w:p w:rsidR="00880E01" w:rsidRPr="00EF6017" w:rsidRDefault="00880E01">
            <w:pPr>
              <w:rPr>
                <w:rFonts w:ascii="Cambria" w:hAnsi="Cambria" w:cs="Arial"/>
              </w:rPr>
            </w:pPr>
            <w:r w:rsidRPr="00EF6017">
              <w:rPr>
                <w:rFonts w:ascii="Cambria" w:hAnsi="Cambria" w:cs="Arial"/>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EF6017">
            <w:pPr>
              <w:jc w:val="right"/>
              <w:rPr>
                <w:rFonts w:ascii="Cambria" w:hAnsi="Cambria" w:cs="Arial"/>
                <w:sz w:val="22"/>
                <w:szCs w:val="22"/>
              </w:rPr>
            </w:pPr>
            <w:r w:rsidRPr="00EF6017">
              <w:rPr>
                <w:rFonts w:ascii="Cambria" w:hAnsi="Cambria" w:cs="Arial"/>
                <w:sz w:val="22"/>
                <w:szCs w:val="22"/>
              </w:rPr>
              <w:t>12.76</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EF6017">
            <w:pPr>
              <w:jc w:val="right"/>
              <w:rPr>
                <w:rFonts w:ascii="Cambria" w:hAnsi="Cambria" w:cs="Arial"/>
                <w:sz w:val="22"/>
                <w:szCs w:val="22"/>
              </w:rPr>
            </w:pPr>
            <w:r w:rsidRPr="00EF6017">
              <w:rPr>
                <w:rFonts w:ascii="Cambria" w:hAnsi="Cambria" w:cs="Arial"/>
                <w:sz w:val="22"/>
                <w:szCs w:val="22"/>
              </w:rPr>
              <w:t>49.06</w:t>
            </w:r>
          </w:p>
        </w:tc>
        <w:tc>
          <w:tcPr>
            <w:tcW w:w="1540" w:type="dxa"/>
            <w:tcBorders>
              <w:top w:val="nil"/>
              <w:left w:val="nil"/>
              <w:bottom w:val="single" w:sz="8" w:space="0" w:color="auto"/>
              <w:right w:val="single" w:sz="8" w:space="0" w:color="auto"/>
            </w:tcBorders>
            <w:shd w:val="clear" w:color="auto" w:fill="auto"/>
            <w:vAlign w:val="center"/>
            <w:hideMark/>
          </w:tcPr>
          <w:p w:rsidR="00880E01" w:rsidRPr="00EF6017" w:rsidRDefault="00EF6017">
            <w:pPr>
              <w:jc w:val="right"/>
              <w:rPr>
                <w:rFonts w:ascii="Cambria" w:hAnsi="Cambria" w:cs="Arial"/>
                <w:i/>
                <w:iCs/>
                <w:sz w:val="22"/>
                <w:szCs w:val="22"/>
              </w:rPr>
            </w:pPr>
            <w:r w:rsidRPr="00EF6017">
              <w:rPr>
                <w:rFonts w:ascii="Cambria" w:hAnsi="Cambria" w:cs="Arial"/>
                <w:i/>
                <w:iCs/>
                <w:sz w:val="22"/>
                <w:szCs w:val="22"/>
              </w:rPr>
              <w:t>36.30</w:t>
            </w:r>
          </w:p>
        </w:tc>
      </w:tr>
      <w:tr w:rsidR="00880E01" w:rsidRPr="00345D14"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Pr="00EF6017" w:rsidRDefault="00880E01">
            <w:pPr>
              <w:rPr>
                <w:rFonts w:ascii="Cambria" w:hAnsi="Cambria" w:cs="Arial"/>
              </w:rPr>
            </w:pPr>
            <w:r w:rsidRPr="00EF6017">
              <w:rPr>
                <w:rFonts w:ascii="Cambria" w:hAnsi="Cambria" w:cs="Arial"/>
              </w:rPr>
              <w:t>Net Sales</w:t>
            </w:r>
          </w:p>
        </w:tc>
        <w:tc>
          <w:tcPr>
            <w:tcW w:w="1540" w:type="dxa"/>
            <w:tcBorders>
              <w:top w:val="nil"/>
              <w:left w:val="nil"/>
              <w:bottom w:val="single" w:sz="8" w:space="0" w:color="auto"/>
              <w:right w:val="single" w:sz="8" w:space="0" w:color="auto"/>
            </w:tcBorders>
            <w:shd w:val="clear" w:color="000000" w:fill="FFFFFF"/>
            <w:vAlign w:val="center"/>
            <w:hideMark/>
          </w:tcPr>
          <w:p w:rsidR="00880E01" w:rsidRPr="00EF6017" w:rsidRDefault="00880E01">
            <w:pPr>
              <w:rPr>
                <w:rFonts w:ascii="Cambria" w:hAnsi="Cambria" w:cs="Arial"/>
              </w:rPr>
            </w:pPr>
            <w:r w:rsidRPr="00EF6017">
              <w:rPr>
                <w:rFonts w:ascii="Cambria" w:hAnsi="Cambria" w:cs="Arial"/>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EF6017">
            <w:pPr>
              <w:jc w:val="right"/>
              <w:rPr>
                <w:rFonts w:ascii="Cambria" w:hAnsi="Cambria" w:cs="Arial"/>
                <w:sz w:val="22"/>
                <w:szCs w:val="22"/>
              </w:rPr>
            </w:pPr>
            <w:r w:rsidRPr="00EF6017">
              <w:rPr>
                <w:rFonts w:ascii="Cambria" w:hAnsi="Cambria" w:cs="Arial"/>
                <w:sz w:val="22"/>
                <w:szCs w:val="22"/>
              </w:rPr>
              <w:t>2491.14</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EF6017">
            <w:pPr>
              <w:jc w:val="right"/>
              <w:rPr>
                <w:rFonts w:ascii="Cambria" w:hAnsi="Cambria" w:cs="Arial"/>
                <w:sz w:val="22"/>
                <w:szCs w:val="22"/>
              </w:rPr>
            </w:pPr>
            <w:r w:rsidRPr="00EF6017">
              <w:rPr>
                <w:rFonts w:ascii="Cambria" w:hAnsi="Cambria" w:cs="Arial"/>
                <w:sz w:val="22"/>
                <w:szCs w:val="22"/>
              </w:rPr>
              <w:t>2404.18</w:t>
            </w:r>
          </w:p>
        </w:tc>
        <w:tc>
          <w:tcPr>
            <w:tcW w:w="1540" w:type="dxa"/>
            <w:tcBorders>
              <w:top w:val="nil"/>
              <w:left w:val="nil"/>
              <w:bottom w:val="single" w:sz="8" w:space="0" w:color="auto"/>
              <w:right w:val="single" w:sz="8" w:space="0" w:color="auto"/>
            </w:tcBorders>
            <w:shd w:val="clear" w:color="auto" w:fill="auto"/>
            <w:vAlign w:val="center"/>
            <w:hideMark/>
          </w:tcPr>
          <w:p w:rsidR="00880E01" w:rsidRPr="00EF6017" w:rsidRDefault="00EF6017">
            <w:pPr>
              <w:jc w:val="right"/>
              <w:rPr>
                <w:rFonts w:ascii="Cambria" w:hAnsi="Cambria" w:cs="Arial"/>
                <w:i/>
                <w:iCs/>
                <w:sz w:val="22"/>
                <w:szCs w:val="22"/>
              </w:rPr>
            </w:pPr>
            <w:r w:rsidRPr="00EF6017">
              <w:rPr>
                <w:rFonts w:ascii="Cambria" w:hAnsi="Cambria" w:cs="Arial"/>
                <w:i/>
                <w:iCs/>
                <w:sz w:val="22"/>
                <w:szCs w:val="22"/>
              </w:rPr>
              <w:t>(86.96)</w:t>
            </w:r>
          </w:p>
        </w:tc>
      </w:tr>
      <w:tr w:rsidR="00880E01" w:rsidRPr="00345D14"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Pr="00EF6017" w:rsidRDefault="00880E01">
            <w:pPr>
              <w:rPr>
                <w:rFonts w:ascii="Cambria" w:hAnsi="Cambria" w:cs="Arial"/>
              </w:rPr>
            </w:pPr>
            <w:r w:rsidRPr="00EF6017">
              <w:rPr>
                <w:rFonts w:ascii="Cambria" w:hAnsi="Cambria" w:cs="Arial"/>
              </w:rPr>
              <w:t>Other Income</w:t>
            </w:r>
          </w:p>
        </w:tc>
        <w:tc>
          <w:tcPr>
            <w:tcW w:w="1540" w:type="dxa"/>
            <w:tcBorders>
              <w:top w:val="nil"/>
              <w:left w:val="nil"/>
              <w:bottom w:val="single" w:sz="8" w:space="0" w:color="auto"/>
              <w:right w:val="single" w:sz="8" w:space="0" w:color="auto"/>
            </w:tcBorders>
            <w:shd w:val="clear" w:color="000000" w:fill="FFFFFF"/>
            <w:vAlign w:val="center"/>
            <w:hideMark/>
          </w:tcPr>
          <w:p w:rsidR="00880E01" w:rsidRPr="00EF6017" w:rsidRDefault="00880E01">
            <w:pPr>
              <w:rPr>
                <w:rFonts w:ascii="Cambria" w:hAnsi="Cambria" w:cs="Arial"/>
              </w:rPr>
            </w:pPr>
            <w:r w:rsidRPr="00EF6017">
              <w:rPr>
                <w:rFonts w:ascii="Cambria" w:hAnsi="Cambria" w:cs="Arial"/>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EF6017">
            <w:pPr>
              <w:jc w:val="right"/>
              <w:rPr>
                <w:rFonts w:ascii="Cambria" w:hAnsi="Cambria" w:cs="Arial"/>
                <w:sz w:val="22"/>
                <w:szCs w:val="22"/>
              </w:rPr>
            </w:pPr>
            <w:r w:rsidRPr="00EF6017">
              <w:rPr>
                <w:rFonts w:ascii="Cambria" w:hAnsi="Cambria" w:cs="Arial"/>
                <w:sz w:val="22"/>
                <w:szCs w:val="22"/>
              </w:rPr>
              <w:t>123.33</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EF6017">
            <w:pPr>
              <w:jc w:val="right"/>
              <w:rPr>
                <w:rFonts w:ascii="Cambria" w:hAnsi="Cambria" w:cs="Arial"/>
                <w:sz w:val="22"/>
                <w:szCs w:val="22"/>
              </w:rPr>
            </w:pPr>
            <w:r w:rsidRPr="00EF6017">
              <w:rPr>
                <w:rFonts w:ascii="Cambria" w:hAnsi="Cambria" w:cs="Arial"/>
                <w:sz w:val="22"/>
                <w:szCs w:val="22"/>
              </w:rPr>
              <w:t>76.74</w:t>
            </w:r>
          </w:p>
        </w:tc>
        <w:tc>
          <w:tcPr>
            <w:tcW w:w="1540" w:type="dxa"/>
            <w:tcBorders>
              <w:top w:val="nil"/>
              <w:left w:val="nil"/>
              <w:bottom w:val="single" w:sz="8" w:space="0" w:color="auto"/>
              <w:right w:val="single" w:sz="8" w:space="0" w:color="auto"/>
            </w:tcBorders>
            <w:shd w:val="clear" w:color="auto" w:fill="auto"/>
            <w:vAlign w:val="center"/>
            <w:hideMark/>
          </w:tcPr>
          <w:p w:rsidR="00880E01" w:rsidRPr="00EF6017" w:rsidRDefault="00EF6017">
            <w:pPr>
              <w:jc w:val="right"/>
              <w:rPr>
                <w:rFonts w:ascii="Cambria" w:hAnsi="Cambria" w:cs="Arial"/>
                <w:i/>
                <w:iCs/>
                <w:sz w:val="22"/>
                <w:szCs w:val="22"/>
              </w:rPr>
            </w:pPr>
            <w:r w:rsidRPr="00EF6017">
              <w:rPr>
                <w:rFonts w:ascii="Cambria" w:hAnsi="Cambria" w:cs="Arial"/>
                <w:i/>
                <w:iCs/>
                <w:sz w:val="22"/>
                <w:szCs w:val="22"/>
              </w:rPr>
              <w:t>(46.59)</w:t>
            </w:r>
          </w:p>
        </w:tc>
      </w:tr>
      <w:tr w:rsidR="00880E01" w:rsidRPr="00345D14" w:rsidTr="00880E01">
        <w:trPr>
          <w:trHeight w:val="480"/>
        </w:trPr>
        <w:tc>
          <w:tcPr>
            <w:tcW w:w="2422" w:type="dxa"/>
            <w:tcBorders>
              <w:top w:val="nil"/>
              <w:left w:val="single" w:sz="8" w:space="0" w:color="auto"/>
              <w:bottom w:val="single" w:sz="8" w:space="0" w:color="auto"/>
              <w:right w:val="single" w:sz="8" w:space="0" w:color="auto"/>
            </w:tcBorders>
            <w:shd w:val="clear" w:color="auto" w:fill="auto"/>
            <w:noWrap/>
            <w:vAlign w:val="center"/>
            <w:hideMark/>
          </w:tcPr>
          <w:p w:rsidR="00880E01" w:rsidRPr="00EF6017" w:rsidRDefault="00880E01">
            <w:pPr>
              <w:rPr>
                <w:rFonts w:ascii="Cambria" w:hAnsi="Cambria" w:cs="Arial"/>
                <w:b/>
                <w:bCs/>
              </w:rPr>
            </w:pPr>
            <w:r w:rsidRPr="00EF6017">
              <w:rPr>
                <w:rFonts w:ascii="Cambria" w:hAnsi="Cambria" w:cs="Arial"/>
                <w:b/>
                <w:bCs/>
              </w:rPr>
              <w:t>Total Income</w:t>
            </w:r>
          </w:p>
        </w:tc>
        <w:tc>
          <w:tcPr>
            <w:tcW w:w="1540" w:type="dxa"/>
            <w:tcBorders>
              <w:top w:val="nil"/>
              <w:left w:val="nil"/>
              <w:bottom w:val="single" w:sz="8" w:space="0" w:color="auto"/>
              <w:right w:val="single" w:sz="8" w:space="0" w:color="auto"/>
            </w:tcBorders>
            <w:shd w:val="clear" w:color="auto" w:fill="auto"/>
            <w:vAlign w:val="center"/>
            <w:hideMark/>
          </w:tcPr>
          <w:p w:rsidR="00880E01" w:rsidRPr="00EF6017" w:rsidRDefault="00880E01">
            <w:pPr>
              <w:rPr>
                <w:rFonts w:ascii="Cambria" w:hAnsi="Cambria" w:cs="Arial"/>
                <w:b/>
                <w:bCs/>
              </w:rPr>
            </w:pPr>
            <w:r w:rsidRPr="00EF6017">
              <w:rPr>
                <w:rFonts w:ascii="Cambria" w:hAnsi="Cambria" w:cs="Arial"/>
                <w:b/>
                <w:bCs/>
              </w:rPr>
              <w:t>Rs Crore</w:t>
            </w:r>
          </w:p>
        </w:tc>
        <w:tc>
          <w:tcPr>
            <w:tcW w:w="1540" w:type="dxa"/>
            <w:tcBorders>
              <w:top w:val="nil"/>
              <w:left w:val="nil"/>
              <w:bottom w:val="single" w:sz="8" w:space="0" w:color="auto"/>
              <w:right w:val="single" w:sz="8" w:space="0" w:color="auto"/>
            </w:tcBorders>
            <w:shd w:val="clear" w:color="auto" w:fill="auto"/>
            <w:noWrap/>
            <w:vAlign w:val="center"/>
            <w:hideMark/>
          </w:tcPr>
          <w:p w:rsidR="00880E01" w:rsidRPr="00EF6017" w:rsidRDefault="00EF6017">
            <w:pPr>
              <w:jc w:val="right"/>
              <w:rPr>
                <w:rFonts w:ascii="Cambria" w:hAnsi="Cambria" w:cs="Arial"/>
                <w:b/>
                <w:bCs/>
                <w:sz w:val="22"/>
                <w:szCs w:val="22"/>
              </w:rPr>
            </w:pPr>
            <w:r w:rsidRPr="00EF6017">
              <w:rPr>
                <w:rFonts w:ascii="Cambria" w:hAnsi="Cambria" w:cs="Arial"/>
                <w:b/>
                <w:bCs/>
                <w:sz w:val="22"/>
                <w:szCs w:val="22"/>
              </w:rPr>
              <w:t>2614.47</w:t>
            </w:r>
          </w:p>
        </w:tc>
        <w:tc>
          <w:tcPr>
            <w:tcW w:w="1540" w:type="dxa"/>
            <w:tcBorders>
              <w:top w:val="nil"/>
              <w:left w:val="nil"/>
              <w:bottom w:val="single" w:sz="8" w:space="0" w:color="auto"/>
              <w:right w:val="single" w:sz="8" w:space="0" w:color="auto"/>
            </w:tcBorders>
            <w:shd w:val="clear" w:color="auto" w:fill="auto"/>
            <w:noWrap/>
            <w:vAlign w:val="center"/>
            <w:hideMark/>
          </w:tcPr>
          <w:p w:rsidR="00880E01" w:rsidRPr="00EF6017" w:rsidRDefault="00EF6017">
            <w:pPr>
              <w:jc w:val="right"/>
              <w:rPr>
                <w:rFonts w:ascii="Cambria" w:hAnsi="Cambria" w:cs="Arial"/>
                <w:b/>
                <w:bCs/>
                <w:sz w:val="22"/>
                <w:szCs w:val="22"/>
              </w:rPr>
            </w:pPr>
            <w:r w:rsidRPr="00EF6017">
              <w:rPr>
                <w:rFonts w:ascii="Cambria" w:hAnsi="Cambria" w:cs="Arial"/>
                <w:b/>
                <w:bCs/>
                <w:sz w:val="22"/>
                <w:szCs w:val="22"/>
              </w:rPr>
              <w:t>2480.93</w:t>
            </w:r>
          </w:p>
        </w:tc>
        <w:tc>
          <w:tcPr>
            <w:tcW w:w="1540" w:type="dxa"/>
            <w:tcBorders>
              <w:top w:val="nil"/>
              <w:left w:val="nil"/>
              <w:bottom w:val="single" w:sz="8" w:space="0" w:color="auto"/>
              <w:right w:val="single" w:sz="8" w:space="0" w:color="auto"/>
            </w:tcBorders>
            <w:shd w:val="clear" w:color="auto" w:fill="auto"/>
            <w:vAlign w:val="center"/>
            <w:hideMark/>
          </w:tcPr>
          <w:p w:rsidR="00880E01" w:rsidRPr="00EF6017" w:rsidRDefault="00EF6017">
            <w:pPr>
              <w:jc w:val="right"/>
              <w:rPr>
                <w:rFonts w:ascii="Cambria" w:hAnsi="Cambria" w:cs="Arial"/>
                <w:i/>
                <w:iCs/>
                <w:sz w:val="22"/>
                <w:szCs w:val="22"/>
              </w:rPr>
            </w:pPr>
            <w:r w:rsidRPr="00EF6017">
              <w:rPr>
                <w:rFonts w:ascii="Cambria" w:hAnsi="Cambria" w:cs="Arial"/>
                <w:i/>
                <w:iCs/>
                <w:sz w:val="22"/>
                <w:szCs w:val="22"/>
              </w:rPr>
              <w:t>(133.54)</w:t>
            </w:r>
          </w:p>
        </w:tc>
      </w:tr>
      <w:tr w:rsidR="00880E01" w:rsidRPr="00345D14"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Pr="00EF6017" w:rsidRDefault="00880E01">
            <w:pPr>
              <w:rPr>
                <w:rFonts w:ascii="Cambria" w:hAnsi="Cambria" w:cs="Arial"/>
                <w:i/>
                <w:iCs/>
              </w:rPr>
            </w:pPr>
            <w:r w:rsidRPr="00EF6017">
              <w:rPr>
                <w:rFonts w:ascii="Cambria" w:hAnsi="Cambria" w:cs="Arial"/>
                <w:i/>
                <w:iCs/>
              </w:rPr>
              <w:t>Distribution Loss</w:t>
            </w:r>
          </w:p>
        </w:tc>
        <w:tc>
          <w:tcPr>
            <w:tcW w:w="1540" w:type="dxa"/>
            <w:tcBorders>
              <w:top w:val="nil"/>
              <w:left w:val="nil"/>
              <w:bottom w:val="single" w:sz="8" w:space="0" w:color="auto"/>
              <w:right w:val="single" w:sz="8" w:space="0" w:color="auto"/>
            </w:tcBorders>
            <w:shd w:val="clear" w:color="000000" w:fill="FFFFFF"/>
            <w:vAlign w:val="center"/>
            <w:hideMark/>
          </w:tcPr>
          <w:p w:rsidR="00880E01" w:rsidRPr="00EF6017" w:rsidRDefault="00880E01">
            <w:pPr>
              <w:rPr>
                <w:rFonts w:ascii="Cambria" w:hAnsi="Cambria" w:cs="Arial"/>
                <w:i/>
                <w:iCs/>
              </w:rPr>
            </w:pPr>
            <w:r w:rsidRPr="00EF6017">
              <w:rPr>
                <w:rFonts w:ascii="Cambria" w:hAnsi="Cambria" w:cs="Arial"/>
                <w:i/>
                <w:iCs/>
              </w:rPr>
              <w:t>%</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880E01">
            <w:pPr>
              <w:jc w:val="right"/>
              <w:rPr>
                <w:rFonts w:ascii="Cambria" w:hAnsi="Cambria" w:cs="Arial"/>
                <w:i/>
                <w:iCs/>
                <w:sz w:val="22"/>
                <w:szCs w:val="22"/>
              </w:rPr>
            </w:pPr>
            <w:r w:rsidRPr="00EF6017">
              <w:rPr>
                <w:rFonts w:ascii="Cambria" w:hAnsi="Cambria" w:cs="Arial"/>
                <w:i/>
                <w:iCs/>
                <w:sz w:val="22"/>
                <w:szCs w:val="22"/>
              </w:rPr>
              <w:t>18.35%</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EF6017">
            <w:pPr>
              <w:jc w:val="right"/>
              <w:rPr>
                <w:rFonts w:ascii="Cambria" w:hAnsi="Cambria" w:cs="Arial"/>
                <w:i/>
                <w:iCs/>
                <w:sz w:val="22"/>
                <w:szCs w:val="22"/>
              </w:rPr>
            </w:pPr>
            <w:r w:rsidRPr="00EF6017">
              <w:rPr>
                <w:rFonts w:ascii="Cambria" w:hAnsi="Cambria" w:cs="Arial"/>
                <w:i/>
                <w:iCs/>
                <w:sz w:val="22"/>
                <w:szCs w:val="22"/>
              </w:rPr>
              <w:t>18.70%</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880E01">
            <w:pPr>
              <w:jc w:val="right"/>
              <w:rPr>
                <w:rFonts w:ascii="Cambria" w:hAnsi="Cambria" w:cs="Arial"/>
                <w:i/>
                <w:iCs/>
                <w:sz w:val="22"/>
                <w:szCs w:val="22"/>
              </w:rPr>
            </w:pPr>
            <w:r w:rsidRPr="00EF6017">
              <w:rPr>
                <w:rFonts w:ascii="Cambria" w:hAnsi="Cambria" w:cs="Arial"/>
                <w:i/>
                <w:iCs/>
                <w:sz w:val="22"/>
                <w:szCs w:val="22"/>
              </w:rPr>
              <w:t> </w:t>
            </w:r>
          </w:p>
        </w:tc>
      </w:tr>
      <w:tr w:rsidR="00880E01" w:rsidRPr="00345D14"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Pr="00EF6017" w:rsidRDefault="00880E01">
            <w:pPr>
              <w:rPr>
                <w:rFonts w:ascii="Cambria" w:hAnsi="Cambria" w:cs="Arial"/>
                <w:i/>
                <w:iCs/>
              </w:rPr>
            </w:pPr>
            <w:r w:rsidRPr="00EF6017">
              <w:rPr>
                <w:rFonts w:ascii="Cambria" w:hAnsi="Cambria" w:cs="Arial"/>
                <w:i/>
                <w:iCs/>
              </w:rPr>
              <w:t>No. of Units – Purchase</w:t>
            </w:r>
          </w:p>
        </w:tc>
        <w:tc>
          <w:tcPr>
            <w:tcW w:w="1540" w:type="dxa"/>
            <w:tcBorders>
              <w:top w:val="nil"/>
              <w:left w:val="nil"/>
              <w:bottom w:val="single" w:sz="8" w:space="0" w:color="auto"/>
              <w:right w:val="single" w:sz="8" w:space="0" w:color="auto"/>
            </w:tcBorders>
            <w:shd w:val="clear" w:color="000000" w:fill="FFFFFF"/>
            <w:vAlign w:val="center"/>
            <w:hideMark/>
          </w:tcPr>
          <w:p w:rsidR="00880E01" w:rsidRPr="00EF6017" w:rsidRDefault="00880E01">
            <w:pPr>
              <w:rPr>
                <w:rFonts w:ascii="Cambria" w:hAnsi="Cambria" w:cs="Arial"/>
                <w:i/>
                <w:iCs/>
              </w:rPr>
            </w:pPr>
            <w:r w:rsidRPr="00EF6017">
              <w:rPr>
                <w:rFonts w:ascii="Cambria" w:hAnsi="Cambria" w:cs="Arial"/>
                <w:i/>
                <w:iCs/>
              </w:rPr>
              <w:t>MU</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EF6017">
            <w:pPr>
              <w:jc w:val="right"/>
              <w:rPr>
                <w:rFonts w:ascii="Cambria" w:hAnsi="Cambria" w:cs="Arial"/>
                <w:i/>
                <w:iCs/>
                <w:sz w:val="22"/>
                <w:szCs w:val="22"/>
              </w:rPr>
            </w:pPr>
            <w:r w:rsidRPr="00EF6017">
              <w:rPr>
                <w:rFonts w:ascii="Cambria" w:hAnsi="Cambria" w:cs="Arial"/>
                <w:i/>
                <w:iCs/>
                <w:sz w:val="22"/>
                <w:szCs w:val="22"/>
              </w:rPr>
              <w:t>6310.00</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EF6017">
            <w:pPr>
              <w:jc w:val="right"/>
              <w:rPr>
                <w:rFonts w:ascii="Cambria" w:hAnsi="Cambria" w:cs="Arial"/>
                <w:i/>
                <w:iCs/>
                <w:sz w:val="22"/>
                <w:szCs w:val="22"/>
              </w:rPr>
            </w:pPr>
            <w:r w:rsidRPr="00EF6017">
              <w:rPr>
                <w:rFonts w:ascii="Cambria" w:hAnsi="Cambria" w:cs="Arial"/>
                <w:i/>
                <w:iCs/>
                <w:sz w:val="22"/>
                <w:szCs w:val="22"/>
              </w:rPr>
              <w:t>6060.86</w:t>
            </w:r>
          </w:p>
        </w:tc>
        <w:tc>
          <w:tcPr>
            <w:tcW w:w="1540" w:type="dxa"/>
            <w:tcBorders>
              <w:top w:val="nil"/>
              <w:left w:val="nil"/>
              <w:bottom w:val="single" w:sz="8" w:space="0" w:color="auto"/>
              <w:right w:val="single" w:sz="8" w:space="0" w:color="auto"/>
            </w:tcBorders>
            <w:shd w:val="clear" w:color="auto" w:fill="auto"/>
            <w:vAlign w:val="center"/>
            <w:hideMark/>
          </w:tcPr>
          <w:p w:rsidR="00880E01" w:rsidRPr="00EF6017" w:rsidRDefault="00EF6017">
            <w:pPr>
              <w:jc w:val="right"/>
              <w:rPr>
                <w:rFonts w:ascii="Cambria" w:hAnsi="Cambria" w:cs="Arial"/>
                <w:i/>
                <w:iCs/>
                <w:sz w:val="22"/>
                <w:szCs w:val="22"/>
              </w:rPr>
            </w:pPr>
            <w:r w:rsidRPr="00EF6017">
              <w:rPr>
                <w:rFonts w:ascii="Cambria" w:hAnsi="Cambria" w:cs="Arial"/>
                <w:i/>
                <w:iCs/>
                <w:sz w:val="22"/>
                <w:szCs w:val="22"/>
              </w:rPr>
              <w:t>(249.14)</w:t>
            </w:r>
          </w:p>
        </w:tc>
      </w:tr>
      <w:tr w:rsidR="00880E01" w:rsidRPr="00345D14"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Pr="00EF6017" w:rsidRDefault="00880E01">
            <w:pPr>
              <w:rPr>
                <w:rFonts w:ascii="Cambria" w:hAnsi="Cambria" w:cs="Arial"/>
                <w:i/>
                <w:iCs/>
              </w:rPr>
            </w:pPr>
            <w:r w:rsidRPr="00EF6017">
              <w:rPr>
                <w:rFonts w:ascii="Cambria" w:hAnsi="Cambria" w:cs="Arial"/>
                <w:i/>
                <w:iCs/>
              </w:rPr>
              <w:t>BST per Unit</w:t>
            </w:r>
          </w:p>
        </w:tc>
        <w:tc>
          <w:tcPr>
            <w:tcW w:w="1540" w:type="dxa"/>
            <w:tcBorders>
              <w:top w:val="nil"/>
              <w:left w:val="nil"/>
              <w:bottom w:val="single" w:sz="8" w:space="0" w:color="auto"/>
              <w:right w:val="single" w:sz="8" w:space="0" w:color="auto"/>
            </w:tcBorders>
            <w:shd w:val="clear" w:color="000000" w:fill="FFFFFF"/>
            <w:vAlign w:val="center"/>
            <w:hideMark/>
          </w:tcPr>
          <w:p w:rsidR="00880E01" w:rsidRPr="00EF6017" w:rsidRDefault="00880E01">
            <w:pPr>
              <w:rPr>
                <w:rFonts w:ascii="Cambria" w:hAnsi="Cambria" w:cs="Arial"/>
                <w:i/>
                <w:iCs/>
              </w:rPr>
            </w:pPr>
            <w:r w:rsidRPr="00EF6017">
              <w:rPr>
                <w:rFonts w:ascii="Cambria" w:hAnsi="Cambria" w:cs="Arial"/>
                <w:i/>
                <w:iCs/>
              </w:rPr>
              <w:t>Rs/Kwh</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EF6017">
            <w:pPr>
              <w:jc w:val="right"/>
              <w:rPr>
                <w:rFonts w:ascii="Cambria" w:hAnsi="Cambria" w:cs="Arial"/>
                <w:i/>
                <w:iCs/>
                <w:sz w:val="22"/>
                <w:szCs w:val="22"/>
              </w:rPr>
            </w:pPr>
            <w:r w:rsidRPr="00EF6017">
              <w:rPr>
                <w:rFonts w:ascii="Cambria" w:hAnsi="Cambria" w:cs="Arial"/>
                <w:i/>
                <w:iCs/>
                <w:sz w:val="22"/>
                <w:szCs w:val="22"/>
              </w:rPr>
              <w:t>3.23</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EF6017">
            <w:pPr>
              <w:jc w:val="right"/>
              <w:rPr>
                <w:rFonts w:ascii="Cambria" w:hAnsi="Cambria" w:cs="Arial"/>
                <w:i/>
                <w:iCs/>
                <w:sz w:val="22"/>
                <w:szCs w:val="22"/>
              </w:rPr>
            </w:pPr>
            <w:r w:rsidRPr="00EF6017">
              <w:rPr>
                <w:rFonts w:ascii="Cambria" w:hAnsi="Cambria" w:cs="Arial"/>
                <w:i/>
                <w:iCs/>
                <w:sz w:val="22"/>
                <w:szCs w:val="22"/>
              </w:rPr>
              <w:t>3.23</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880E01">
            <w:pPr>
              <w:jc w:val="right"/>
              <w:rPr>
                <w:rFonts w:ascii="Cambria" w:hAnsi="Cambria" w:cs="Arial"/>
                <w:i/>
                <w:iCs/>
                <w:sz w:val="22"/>
                <w:szCs w:val="22"/>
              </w:rPr>
            </w:pPr>
            <w:r w:rsidRPr="00EF6017">
              <w:rPr>
                <w:rFonts w:ascii="Cambria" w:hAnsi="Cambria" w:cs="Arial"/>
                <w:i/>
                <w:iCs/>
                <w:sz w:val="22"/>
                <w:szCs w:val="22"/>
              </w:rPr>
              <w:t> </w:t>
            </w:r>
          </w:p>
        </w:tc>
      </w:tr>
      <w:tr w:rsidR="00880E01" w:rsidRPr="00345D14"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Pr="00EF6017" w:rsidRDefault="00880E01">
            <w:pPr>
              <w:rPr>
                <w:rFonts w:ascii="Cambria" w:hAnsi="Cambria" w:cs="Arial"/>
                <w:i/>
                <w:iCs/>
              </w:rPr>
            </w:pPr>
            <w:r w:rsidRPr="00EF6017">
              <w:rPr>
                <w:rFonts w:ascii="Cambria" w:hAnsi="Cambria" w:cs="Arial"/>
                <w:i/>
                <w:iCs/>
              </w:rPr>
              <w:t> </w:t>
            </w:r>
          </w:p>
        </w:tc>
        <w:tc>
          <w:tcPr>
            <w:tcW w:w="1540" w:type="dxa"/>
            <w:tcBorders>
              <w:top w:val="nil"/>
              <w:left w:val="nil"/>
              <w:bottom w:val="single" w:sz="8" w:space="0" w:color="auto"/>
              <w:right w:val="single" w:sz="8" w:space="0" w:color="auto"/>
            </w:tcBorders>
            <w:shd w:val="clear" w:color="000000" w:fill="FFFFFF"/>
            <w:vAlign w:val="center"/>
            <w:hideMark/>
          </w:tcPr>
          <w:p w:rsidR="00880E01" w:rsidRPr="00EF6017" w:rsidRDefault="00880E01">
            <w:pPr>
              <w:rPr>
                <w:rFonts w:ascii="Cambria" w:hAnsi="Cambria" w:cs="Arial"/>
                <w:i/>
                <w:iCs/>
              </w:rPr>
            </w:pPr>
            <w:r w:rsidRPr="00EF6017">
              <w:rPr>
                <w:rFonts w:ascii="Cambria" w:hAnsi="Cambria" w:cs="Arial"/>
                <w:i/>
                <w:iCs/>
              </w:rPr>
              <w:t> </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880E01">
            <w:pPr>
              <w:jc w:val="right"/>
              <w:rPr>
                <w:rFonts w:ascii="Cambria" w:hAnsi="Cambria" w:cs="Arial"/>
                <w:i/>
                <w:iCs/>
                <w:sz w:val="22"/>
                <w:szCs w:val="22"/>
              </w:rPr>
            </w:pPr>
            <w:r w:rsidRPr="00EF6017">
              <w:rPr>
                <w:rFonts w:ascii="Cambria" w:hAnsi="Cambria" w:cs="Arial"/>
                <w:i/>
                <w:iCs/>
                <w:sz w:val="22"/>
                <w:szCs w:val="22"/>
              </w:rPr>
              <w:t> </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880E01">
            <w:pPr>
              <w:rPr>
                <w:rFonts w:ascii="Cambria" w:hAnsi="Cambria" w:cs="Arial"/>
                <w:i/>
                <w:iCs/>
                <w:sz w:val="22"/>
                <w:szCs w:val="22"/>
              </w:rPr>
            </w:pPr>
            <w:r w:rsidRPr="00EF6017">
              <w:rPr>
                <w:rFonts w:ascii="Cambria" w:hAnsi="Cambria" w:cs="Arial"/>
                <w:i/>
                <w:iCs/>
                <w:sz w:val="22"/>
                <w:szCs w:val="22"/>
              </w:rPr>
              <w:t> </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880E01">
            <w:pPr>
              <w:jc w:val="right"/>
              <w:rPr>
                <w:rFonts w:ascii="Cambria" w:hAnsi="Cambria" w:cs="Arial"/>
                <w:i/>
                <w:iCs/>
                <w:sz w:val="22"/>
                <w:szCs w:val="22"/>
              </w:rPr>
            </w:pPr>
            <w:r w:rsidRPr="00EF6017">
              <w:rPr>
                <w:rFonts w:ascii="Cambria" w:hAnsi="Cambria" w:cs="Arial"/>
                <w:i/>
                <w:iCs/>
                <w:sz w:val="22"/>
                <w:szCs w:val="22"/>
              </w:rPr>
              <w:t> </w:t>
            </w:r>
          </w:p>
        </w:tc>
      </w:tr>
      <w:tr w:rsidR="00880E01" w:rsidRPr="00345D14"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Pr="00EF6017" w:rsidRDefault="00880E01">
            <w:pPr>
              <w:rPr>
                <w:rFonts w:ascii="Cambria" w:hAnsi="Cambria" w:cs="Arial"/>
              </w:rPr>
            </w:pPr>
            <w:r w:rsidRPr="00EF6017">
              <w:rPr>
                <w:rFonts w:ascii="Cambria" w:hAnsi="Cambria" w:cs="Arial"/>
              </w:rPr>
              <w:t>Cost of Power</w:t>
            </w:r>
          </w:p>
        </w:tc>
        <w:tc>
          <w:tcPr>
            <w:tcW w:w="1540" w:type="dxa"/>
            <w:tcBorders>
              <w:top w:val="nil"/>
              <w:left w:val="nil"/>
              <w:bottom w:val="single" w:sz="8" w:space="0" w:color="auto"/>
              <w:right w:val="single" w:sz="8" w:space="0" w:color="auto"/>
            </w:tcBorders>
            <w:shd w:val="clear" w:color="000000" w:fill="FFFFFF"/>
            <w:vAlign w:val="center"/>
            <w:hideMark/>
          </w:tcPr>
          <w:p w:rsidR="00880E01" w:rsidRPr="00EF6017" w:rsidRDefault="00880E01">
            <w:pPr>
              <w:rPr>
                <w:rFonts w:ascii="Cambria" w:hAnsi="Cambria" w:cs="Arial"/>
              </w:rPr>
            </w:pPr>
            <w:r w:rsidRPr="00EF6017">
              <w:rPr>
                <w:rFonts w:ascii="Cambria" w:hAnsi="Cambria" w:cs="Arial"/>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EF6017">
            <w:pPr>
              <w:jc w:val="right"/>
              <w:rPr>
                <w:rFonts w:ascii="Cambria" w:hAnsi="Cambria" w:cs="Arial"/>
                <w:sz w:val="22"/>
                <w:szCs w:val="22"/>
              </w:rPr>
            </w:pPr>
            <w:r w:rsidRPr="00EF6017">
              <w:rPr>
                <w:rFonts w:ascii="Cambria" w:hAnsi="Cambria" w:cs="Arial"/>
                <w:sz w:val="22"/>
                <w:szCs w:val="22"/>
              </w:rPr>
              <w:t>2039.11</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EF6017">
            <w:pPr>
              <w:jc w:val="right"/>
              <w:rPr>
                <w:rFonts w:ascii="Cambria" w:hAnsi="Cambria" w:cs="Arial"/>
                <w:sz w:val="22"/>
                <w:szCs w:val="22"/>
              </w:rPr>
            </w:pPr>
            <w:r w:rsidRPr="00EF6017">
              <w:rPr>
                <w:rFonts w:ascii="Cambria" w:hAnsi="Cambria" w:cs="Arial"/>
                <w:sz w:val="22"/>
                <w:szCs w:val="22"/>
              </w:rPr>
              <w:t>1958.63</w:t>
            </w:r>
          </w:p>
        </w:tc>
        <w:tc>
          <w:tcPr>
            <w:tcW w:w="1540" w:type="dxa"/>
            <w:tcBorders>
              <w:top w:val="nil"/>
              <w:left w:val="nil"/>
              <w:bottom w:val="single" w:sz="8" w:space="0" w:color="auto"/>
              <w:right w:val="single" w:sz="8" w:space="0" w:color="auto"/>
            </w:tcBorders>
            <w:shd w:val="clear" w:color="auto" w:fill="auto"/>
            <w:vAlign w:val="center"/>
            <w:hideMark/>
          </w:tcPr>
          <w:p w:rsidR="00880E01" w:rsidRPr="00EF6017" w:rsidRDefault="00EF6017">
            <w:pPr>
              <w:jc w:val="right"/>
              <w:rPr>
                <w:rFonts w:ascii="Cambria" w:hAnsi="Cambria" w:cs="Arial"/>
                <w:i/>
                <w:iCs/>
                <w:sz w:val="22"/>
                <w:szCs w:val="22"/>
              </w:rPr>
            </w:pPr>
            <w:r w:rsidRPr="00EF6017">
              <w:rPr>
                <w:rFonts w:ascii="Cambria" w:hAnsi="Cambria" w:cs="Arial"/>
                <w:i/>
                <w:iCs/>
                <w:sz w:val="22"/>
                <w:szCs w:val="22"/>
              </w:rPr>
              <w:t>(80.48)</w:t>
            </w:r>
          </w:p>
        </w:tc>
      </w:tr>
      <w:tr w:rsidR="00880E01" w:rsidRPr="00345D14"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Pr="00EF6017" w:rsidRDefault="00880E01">
            <w:pPr>
              <w:rPr>
                <w:rFonts w:ascii="Cambria" w:hAnsi="Cambria" w:cs="Arial"/>
              </w:rPr>
            </w:pPr>
            <w:r w:rsidRPr="00EF6017">
              <w:rPr>
                <w:rFonts w:ascii="Cambria" w:hAnsi="Cambria" w:cs="Arial"/>
              </w:rPr>
              <w:t>Distribution Expenses</w:t>
            </w:r>
          </w:p>
        </w:tc>
        <w:tc>
          <w:tcPr>
            <w:tcW w:w="1540" w:type="dxa"/>
            <w:tcBorders>
              <w:top w:val="nil"/>
              <w:left w:val="nil"/>
              <w:bottom w:val="single" w:sz="8" w:space="0" w:color="auto"/>
              <w:right w:val="single" w:sz="8" w:space="0" w:color="auto"/>
            </w:tcBorders>
            <w:shd w:val="clear" w:color="000000" w:fill="FFFFFF"/>
            <w:vAlign w:val="center"/>
            <w:hideMark/>
          </w:tcPr>
          <w:p w:rsidR="00880E01" w:rsidRPr="00EF6017" w:rsidRDefault="00880E01">
            <w:pPr>
              <w:rPr>
                <w:rFonts w:ascii="Cambria" w:hAnsi="Cambria" w:cs="Arial"/>
              </w:rPr>
            </w:pPr>
            <w:r w:rsidRPr="00EF6017">
              <w:rPr>
                <w:rFonts w:ascii="Cambria" w:hAnsi="Cambria" w:cs="Arial"/>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EF6017">
            <w:pPr>
              <w:jc w:val="right"/>
              <w:rPr>
                <w:rFonts w:ascii="Cambria" w:hAnsi="Cambria" w:cs="Arial"/>
                <w:sz w:val="22"/>
                <w:szCs w:val="22"/>
              </w:rPr>
            </w:pPr>
            <w:r w:rsidRPr="00EF6017">
              <w:rPr>
                <w:rFonts w:ascii="Cambria" w:hAnsi="Cambria" w:cs="Arial"/>
                <w:sz w:val="22"/>
                <w:szCs w:val="22"/>
              </w:rPr>
              <w:t>454.10</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EF6017">
            <w:pPr>
              <w:jc w:val="right"/>
              <w:rPr>
                <w:rFonts w:ascii="Cambria" w:hAnsi="Cambria" w:cs="Arial"/>
                <w:sz w:val="22"/>
                <w:szCs w:val="22"/>
              </w:rPr>
            </w:pPr>
            <w:r w:rsidRPr="00EF6017">
              <w:rPr>
                <w:rFonts w:ascii="Cambria" w:hAnsi="Cambria" w:cs="Arial"/>
                <w:sz w:val="22"/>
                <w:szCs w:val="22"/>
              </w:rPr>
              <w:t>454.71</w:t>
            </w:r>
          </w:p>
        </w:tc>
        <w:tc>
          <w:tcPr>
            <w:tcW w:w="1540" w:type="dxa"/>
            <w:tcBorders>
              <w:top w:val="nil"/>
              <w:left w:val="nil"/>
              <w:bottom w:val="single" w:sz="8" w:space="0" w:color="auto"/>
              <w:right w:val="single" w:sz="8" w:space="0" w:color="auto"/>
            </w:tcBorders>
            <w:shd w:val="clear" w:color="auto" w:fill="auto"/>
            <w:vAlign w:val="center"/>
            <w:hideMark/>
          </w:tcPr>
          <w:p w:rsidR="00880E01" w:rsidRPr="00EF6017" w:rsidRDefault="00EF6017">
            <w:pPr>
              <w:jc w:val="right"/>
              <w:rPr>
                <w:rFonts w:ascii="Cambria" w:hAnsi="Cambria" w:cs="Arial"/>
                <w:i/>
                <w:iCs/>
                <w:sz w:val="22"/>
                <w:szCs w:val="22"/>
              </w:rPr>
            </w:pPr>
            <w:r w:rsidRPr="00EF6017">
              <w:rPr>
                <w:rFonts w:ascii="Cambria" w:hAnsi="Cambria" w:cs="Arial"/>
                <w:i/>
                <w:iCs/>
                <w:sz w:val="22"/>
                <w:szCs w:val="22"/>
              </w:rPr>
              <w:t>0.61</w:t>
            </w:r>
          </w:p>
        </w:tc>
      </w:tr>
      <w:tr w:rsidR="00880E01" w:rsidRPr="00345D14"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Pr="00EF6017" w:rsidRDefault="00880E01">
            <w:pPr>
              <w:rPr>
                <w:rFonts w:ascii="Cambria" w:hAnsi="Cambria" w:cs="Arial"/>
                <w:sz w:val="22"/>
                <w:szCs w:val="22"/>
              </w:rPr>
            </w:pPr>
            <w:r w:rsidRPr="00EF6017">
              <w:rPr>
                <w:rFonts w:ascii="Cambria" w:hAnsi="Cambria" w:cs="Arial"/>
                <w:sz w:val="22"/>
                <w:szCs w:val="22"/>
              </w:rPr>
              <w:t>Interest &amp; Finance charges</w:t>
            </w:r>
          </w:p>
        </w:tc>
        <w:tc>
          <w:tcPr>
            <w:tcW w:w="1540" w:type="dxa"/>
            <w:tcBorders>
              <w:top w:val="nil"/>
              <w:left w:val="nil"/>
              <w:bottom w:val="single" w:sz="8" w:space="0" w:color="auto"/>
              <w:right w:val="single" w:sz="8" w:space="0" w:color="auto"/>
            </w:tcBorders>
            <w:shd w:val="clear" w:color="000000" w:fill="FFFFFF"/>
            <w:vAlign w:val="center"/>
            <w:hideMark/>
          </w:tcPr>
          <w:p w:rsidR="00880E01" w:rsidRPr="00EF6017" w:rsidRDefault="00880E01">
            <w:pPr>
              <w:rPr>
                <w:rFonts w:ascii="Cambria" w:hAnsi="Cambria" w:cs="Arial"/>
              </w:rPr>
            </w:pPr>
            <w:r w:rsidRPr="00EF6017">
              <w:rPr>
                <w:rFonts w:ascii="Cambria" w:hAnsi="Cambria" w:cs="Arial"/>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EF6017">
            <w:pPr>
              <w:jc w:val="right"/>
              <w:rPr>
                <w:rFonts w:ascii="Cambria" w:hAnsi="Cambria" w:cs="Arial"/>
                <w:sz w:val="22"/>
                <w:szCs w:val="22"/>
              </w:rPr>
            </w:pPr>
            <w:r w:rsidRPr="00EF6017">
              <w:rPr>
                <w:rFonts w:ascii="Cambria" w:hAnsi="Cambria" w:cs="Arial"/>
                <w:sz w:val="22"/>
                <w:szCs w:val="22"/>
              </w:rPr>
              <w:t>50.97</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EF6017">
            <w:pPr>
              <w:jc w:val="right"/>
              <w:rPr>
                <w:rFonts w:ascii="Cambria" w:hAnsi="Cambria" w:cs="Arial"/>
                <w:sz w:val="22"/>
                <w:szCs w:val="22"/>
              </w:rPr>
            </w:pPr>
            <w:r w:rsidRPr="00EF6017">
              <w:rPr>
                <w:rFonts w:ascii="Cambria" w:hAnsi="Cambria" w:cs="Arial"/>
                <w:sz w:val="22"/>
                <w:szCs w:val="22"/>
              </w:rPr>
              <w:t>81.23</w:t>
            </w:r>
          </w:p>
        </w:tc>
        <w:tc>
          <w:tcPr>
            <w:tcW w:w="1540" w:type="dxa"/>
            <w:tcBorders>
              <w:top w:val="nil"/>
              <w:left w:val="nil"/>
              <w:bottom w:val="single" w:sz="8" w:space="0" w:color="auto"/>
              <w:right w:val="single" w:sz="8" w:space="0" w:color="auto"/>
            </w:tcBorders>
            <w:shd w:val="clear" w:color="auto" w:fill="auto"/>
            <w:vAlign w:val="center"/>
            <w:hideMark/>
          </w:tcPr>
          <w:p w:rsidR="00880E01" w:rsidRPr="00EF6017" w:rsidRDefault="00EF6017">
            <w:pPr>
              <w:jc w:val="right"/>
              <w:rPr>
                <w:rFonts w:ascii="Cambria" w:hAnsi="Cambria" w:cs="Arial"/>
                <w:i/>
                <w:iCs/>
                <w:sz w:val="22"/>
                <w:szCs w:val="22"/>
              </w:rPr>
            </w:pPr>
            <w:r w:rsidRPr="00EF6017">
              <w:rPr>
                <w:rFonts w:ascii="Cambria" w:hAnsi="Cambria" w:cs="Arial"/>
                <w:i/>
                <w:iCs/>
                <w:sz w:val="22"/>
                <w:szCs w:val="22"/>
              </w:rPr>
              <w:t>30.26</w:t>
            </w:r>
          </w:p>
        </w:tc>
      </w:tr>
      <w:tr w:rsidR="00880E01" w:rsidRPr="00345D14"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Pr="00EF6017" w:rsidRDefault="00880E01">
            <w:pPr>
              <w:rPr>
                <w:rFonts w:ascii="Cambria" w:hAnsi="Cambria" w:cs="Arial"/>
              </w:rPr>
            </w:pPr>
            <w:r w:rsidRPr="00EF6017">
              <w:rPr>
                <w:rFonts w:ascii="Cambria" w:hAnsi="Cambria" w:cs="Arial"/>
              </w:rPr>
              <w:t>Depreciation</w:t>
            </w:r>
          </w:p>
        </w:tc>
        <w:tc>
          <w:tcPr>
            <w:tcW w:w="1540" w:type="dxa"/>
            <w:tcBorders>
              <w:top w:val="nil"/>
              <w:left w:val="nil"/>
              <w:bottom w:val="single" w:sz="8" w:space="0" w:color="auto"/>
              <w:right w:val="single" w:sz="8" w:space="0" w:color="auto"/>
            </w:tcBorders>
            <w:shd w:val="clear" w:color="000000" w:fill="FFFFFF"/>
            <w:vAlign w:val="center"/>
            <w:hideMark/>
          </w:tcPr>
          <w:p w:rsidR="00880E01" w:rsidRPr="00EF6017" w:rsidRDefault="00880E01">
            <w:pPr>
              <w:rPr>
                <w:rFonts w:ascii="Cambria" w:hAnsi="Cambria" w:cs="Arial"/>
              </w:rPr>
            </w:pPr>
            <w:r w:rsidRPr="00EF6017">
              <w:rPr>
                <w:rFonts w:ascii="Cambria" w:hAnsi="Cambria" w:cs="Arial"/>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EF6017">
            <w:pPr>
              <w:jc w:val="right"/>
              <w:rPr>
                <w:rFonts w:ascii="Cambria" w:hAnsi="Cambria" w:cs="Arial"/>
                <w:sz w:val="22"/>
                <w:szCs w:val="22"/>
              </w:rPr>
            </w:pPr>
            <w:r w:rsidRPr="00EF6017">
              <w:rPr>
                <w:rFonts w:ascii="Cambria" w:hAnsi="Cambria" w:cs="Arial"/>
                <w:sz w:val="22"/>
                <w:szCs w:val="22"/>
              </w:rPr>
              <w:t>59.61</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EF6017">
            <w:pPr>
              <w:jc w:val="right"/>
              <w:rPr>
                <w:rFonts w:ascii="Cambria" w:hAnsi="Cambria" w:cs="Arial"/>
                <w:sz w:val="22"/>
                <w:szCs w:val="22"/>
              </w:rPr>
            </w:pPr>
            <w:r w:rsidRPr="00EF6017">
              <w:rPr>
                <w:rFonts w:ascii="Cambria" w:hAnsi="Cambria" w:cs="Arial"/>
                <w:sz w:val="22"/>
                <w:szCs w:val="22"/>
              </w:rPr>
              <w:t>56.78</w:t>
            </w:r>
          </w:p>
        </w:tc>
        <w:tc>
          <w:tcPr>
            <w:tcW w:w="1540" w:type="dxa"/>
            <w:tcBorders>
              <w:top w:val="nil"/>
              <w:left w:val="nil"/>
              <w:bottom w:val="single" w:sz="8" w:space="0" w:color="auto"/>
              <w:right w:val="single" w:sz="8" w:space="0" w:color="auto"/>
            </w:tcBorders>
            <w:shd w:val="clear" w:color="auto" w:fill="auto"/>
            <w:vAlign w:val="center"/>
            <w:hideMark/>
          </w:tcPr>
          <w:p w:rsidR="00880E01" w:rsidRPr="00EF6017" w:rsidRDefault="00EF6017">
            <w:pPr>
              <w:jc w:val="right"/>
              <w:rPr>
                <w:rFonts w:ascii="Cambria" w:hAnsi="Cambria" w:cs="Arial"/>
                <w:i/>
                <w:iCs/>
                <w:sz w:val="22"/>
                <w:szCs w:val="22"/>
              </w:rPr>
            </w:pPr>
            <w:r w:rsidRPr="00EF6017">
              <w:rPr>
                <w:rFonts w:ascii="Cambria" w:hAnsi="Cambria" w:cs="Arial"/>
                <w:i/>
                <w:iCs/>
                <w:sz w:val="22"/>
                <w:szCs w:val="22"/>
              </w:rPr>
              <w:t>(2.83)</w:t>
            </w:r>
          </w:p>
        </w:tc>
      </w:tr>
      <w:tr w:rsidR="00880E01" w:rsidRPr="00345D14"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Pr="00EF6017" w:rsidRDefault="00880E01">
            <w:pPr>
              <w:rPr>
                <w:rFonts w:ascii="Cambria" w:hAnsi="Cambria" w:cs="Arial"/>
                <w:b/>
                <w:bCs/>
              </w:rPr>
            </w:pPr>
            <w:r w:rsidRPr="00EF6017">
              <w:rPr>
                <w:rFonts w:ascii="Cambria" w:hAnsi="Cambria" w:cs="Arial"/>
                <w:b/>
                <w:bCs/>
              </w:rPr>
              <w:t>Total Expenditure</w:t>
            </w:r>
          </w:p>
        </w:tc>
        <w:tc>
          <w:tcPr>
            <w:tcW w:w="1540" w:type="dxa"/>
            <w:tcBorders>
              <w:top w:val="nil"/>
              <w:left w:val="nil"/>
              <w:bottom w:val="single" w:sz="8" w:space="0" w:color="auto"/>
              <w:right w:val="single" w:sz="8" w:space="0" w:color="auto"/>
            </w:tcBorders>
            <w:shd w:val="clear" w:color="000000" w:fill="FFFFFF"/>
            <w:vAlign w:val="center"/>
            <w:hideMark/>
          </w:tcPr>
          <w:p w:rsidR="00880E01" w:rsidRPr="00EF6017" w:rsidRDefault="00880E01">
            <w:pPr>
              <w:rPr>
                <w:rFonts w:ascii="Cambria" w:hAnsi="Cambria" w:cs="Arial"/>
                <w:b/>
                <w:bCs/>
              </w:rPr>
            </w:pPr>
            <w:r w:rsidRPr="00EF6017">
              <w:rPr>
                <w:rFonts w:ascii="Cambria" w:hAnsi="Cambria" w:cs="Arial"/>
                <w:b/>
                <w:bCs/>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EF6017">
            <w:pPr>
              <w:jc w:val="right"/>
              <w:rPr>
                <w:rFonts w:ascii="Cambria" w:hAnsi="Cambria" w:cs="Arial"/>
                <w:b/>
                <w:bCs/>
                <w:sz w:val="22"/>
                <w:szCs w:val="22"/>
              </w:rPr>
            </w:pPr>
            <w:r w:rsidRPr="00EF6017">
              <w:rPr>
                <w:rFonts w:ascii="Cambria" w:hAnsi="Cambria" w:cs="Arial"/>
                <w:b/>
                <w:bCs/>
                <w:sz w:val="22"/>
                <w:szCs w:val="22"/>
              </w:rPr>
              <w:t>2603.80</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EF6017">
            <w:pPr>
              <w:jc w:val="right"/>
              <w:rPr>
                <w:rFonts w:ascii="Cambria" w:hAnsi="Cambria" w:cs="Arial"/>
                <w:b/>
                <w:bCs/>
                <w:sz w:val="22"/>
                <w:szCs w:val="22"/>
              </w:rPr>
            </w:pPr>
            <w:r w:rsidRPr="00EF6017">
              <w:rPr>
                <w:rFonts w:ascii="Cambria" w:hAnsi="Cambria" w:cs="Arial"/>
                <w:b/>
                <w:bCs/>
                <w:sz w:val="22"/>
                <w:szCs w:val="22"/>
              </w:rPr>
              <w:t>2551.36</w:t>
            </w:r>
          </w:p>
        </w:tc>
        <w:tc>
          <w:tcPr>
            <w:tcW w:w="1540" w:type="dxa"/>
            <w:tcBorders>
              <w:top w:val="nil"/>
              <w:left w:val="nil"/>
              <w:bottom w:val="single" w:sz="8" w:space="0" w:color="auto"/>
              <w:right w:val="single" w:sz="8" w:space="0" w:color="auto"/>
            </w:tcBorders>
            <w:shd w:val="clear" w:color="auto" w:fill="auto"/>
            <w:vAlign w:val="center"/>
            <w:hideMark/>
          </w:tcPr>
          <w:p w:rsidR="00880E01" w:rsidRPr="00EF6017" w:rsidRDefault="00EF6017">
            <w:pPr>
              <w:jc w:val="right"/>
              <w:rPr>
                <w:rFonts w:ascii="Cambria" w:hAnsi="Cambria" w:cs="Arial"/>
                <w:i/>
                <w:iCs/>
                <w:sz w:val="22"/>
                <w:szCs w:val="22"/>
              </w:rPr>
            </w:pPr>
            <w:r w:rsidRPr="00EF6017">
              <w:rPr>
                <w:rFonts w:ascii="Cambria" w:hAnsi="Cambria" w:cs="Arial"/>
                <w:i/>
                <w:iCs/>
                <w:sz w:val="22"/>
                <w:szCs w:val="22"/>
              </w:rPr>
              <w:t>(52.44)</w:t>
            </w:r>
          </w:p>
        </w:tc>
      </w:tr>
      <w:tr w:rsidR="00880E01" w:rsidRPr="00345D14"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Pr="00EF6017" w:rsidRDefault="00880E01">
            <w:pPr>
              <w:rPr>
                <w:rFonts w:ascii="Cambria" w:hAnsi="Cambria" w:cs="Arial"/>
                <w:b/>
                <w:bCs/>
              </w:rPr>
            </w:pPr>
            <w:r w:rsidRPr="00EF6017">
              <w:rPr>
                <w:rFonts w:ascii="Cambria" w:hAnsi="Cambria" w:cs="Arial"/>
                <w:b/>
                <w:bCs/>
              </w:rPr>
              <w:t> </w:t>
            </w:r>
          </w:p>
        </w:tc>
        <w:tc>
          <w:tcPr>
            <w:tcW w:w="1540" w:type="dxa"/>
            <w:tcBorders>
              <w:top w:val="nil"/>
              <w:left w:val="nil"/>
              <w:bottom w:val="single" w:sz="8" w:space="0" w:color="auto"/>
              <w:right w:val="single" w:sz="8" w:space="0" w:color="auto"/>
            </w:tcBorders>
            <w:shd w:val="clear" w:color="000000" w:fill="FFFFFF"/>
            <w:vAlign w:val="center"/>
            <w:hideMark/>
          </w:tcPr>
          <w:p w:rsidR="00880E01" w:rsidRPr="00EF6017" w:rsidRDefault="00880E01">
            <w:pPr>
              <w:rPr>
                <w:rFonts w:ascii="Cambria" w:hAnsi="Cambria" w:cs="Arial"/>
                <w:b/>
                <w:bCs/>
              </w:rPr>
            </w:pPr>
            <w:r w:rsidRPr="00EF6017">
              <w:rPr>
                <w:rFonts w:ascii="Cambria" w:hAnsi="Cambria" w:cs="Arial"/>
                <w:b/>
                <w:bCs/>
              </w:rPr>
              <w:t> </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880E01">
            <w:pPr>
              <w:rPr>
                <w:rFonts w:ascii="Cambria" w:hAnsi="Cambria" w:cs="Arial"/>
                <w:b/>
                <w:bCs/>
                <w:sz w:val="22"/>
                <w:szCs w:val="22"/>
              </w:rPr>
            </w:pPr>
            <w:r w:rsidRPr="00EF6017">
              <w:rPr>
                <w:rFonts w:ascii="Cambria" w:hAnsi="Cambria" w:cs="Arial"/>
                <w:b/>
                <w:bCs/>
                <w:sz w:val="22"/>
                <w:szCs w:val="22"/>
              </w:rPr>
              <w:t> </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880E01">
            <w:pPr>
              <w:rPr>
                <w:rFonts w:ascii="Cambria" w:hAnsi="Cambria" w:cs="Arial"/>
                <w:b/>
                <w:bCs/>
                <w:sz w:val="22"/>
                <w:szCs w:val="22"/>
              </w:rPr>
            </w:pPr>
            <w:r w:rsidRPr="00EF6017">
              <w:rPr>
                <w:rFonts w:ascii="Cambria" w:hAnsi="Cambria" w:cs="Arial"/>
                <w:b/>
                <w:bCs/>
                <w:sz w:val="22"/>
                <w:szCs w:val="22"/>
              </w:rPr>
              <w:t> </w:t>
            </w:r>
          </w:p>
        </w:tc>
        <w:tc>
          <w:tcPr>
            <w:tcW w:w="1540" w:type="dxa"/>
            <w:tcBorders>
              <w:top w:val="nil"/>
              <w:left w:val="nil"/>
              <w:bottom w:val="single" w:sz="8" w:space="0" w:color="auto"/>
              <w:right w:val="single" w:sz="8" w:space="0" w:color="auto"/>
            </w:tcBorders>
            <w:shd w:val="clear" w:color="auto" w:fill="auto"/>
            <w:vAlign w:val="center"/>
            <w:hideMark/>
          </w:tcPr>
          <w:p w:rsidR="00880E01" w:rsidRPr="00EF6017" w:rsidRDefault="00880E01">
            <w:pPr>
              <w:jc w:val="right"/>
              <w:rPr>
                <w:rFonts w:ascii="Cambria" w:hAnsi="Cambria" w:cs="Arial"/>
                <w:i/>
                <w:iCs/>
                <w:sz w:val="22"/>
                <w:szCs w:val="22"/>
              </w:rPr>
            </w:pPr>
            <w:r w:rsidRPr="00EF6017">
              <w:rPr>
                <w:rFonts w:ascii="Cambria" w:hAnsi="Cambria" w:cs="Arial"/>
                <w:i/>
                <w:iCs/>
                <w:sz w:val="22"/>
                <w:szCs w:val="22"/>
              </w:rPr>
              <w:t> </w:t>
            </w:r>
          </w:p>
        </w:tc>
      </w:tr>
      <w:tr w:rsidR="00880E01" w:rsidRPr="00345D14"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Pr="00EF6017" w:rsidRDefault="00880E01">
            <w:pPr>
              <w:rPr>
                <w:rFonts w:ascii="Cambria" w:hAnsi="Cambria" w:cs="Arial"/>
              </w:rPr>
            </w:pPr>
            <w:r w:rsidRPr="00EF6017">
              <w:rPr>
                <w:rFonts w:ascii="Cambria" w:hAnsi="Cambria" w:cs="Arial"/>
              </w:rPr>
              <w:t>Contingency Reserve</w:t>
            </w:r>
          </w:p>
        </w:tc>
        <w:tc>
          <w:tcPr>
            <w:tcW w:w="1540" w:type="dxa"/>
            <w:tcBorders>
              <w:top w:val="nil"/>
              <w:left w:val="nil"/>
              <w:bottom w:val="single" w:sz="8" w:space="0" w:color="auto"/>
              <w:right w:val="single" w:sz="8" w:space="0" w:color="auto"/>
            </w:tcBorders>
            <w:shd w:val="clear" w:color="000000" w:fill="FFFFFF"/>
            <w:vAlign w:val="center"/>
            <w:hideMark/>
          </w:tcPr>
          <w:p w:rsidR="00880E01" w:rsidRPr="00EF6017" w:rsidRDefault="00880E01">
            <w:pPr>
              <w:rPr>
                <w:rFonts w:ascii="Cambria" w:hAnsi="Cambria" w:cs="Arial"/>
              </w:rPr>
            </w:pPr>
            <w:r w:rsidRPr="00EF6017">
              <w:rPr>
                <w:rFonts w:ascii="Cambria" w:hAnsi="Cambria" w:cs="Arial"/>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880E01">
            <w:pPr>
              <w:jc w:val="right"/>
              <w:rPr>
                <w:rFonts w:ascii="Cambria" w:hAnsi="Cambria" w:cs="Arial"/>
                <w:sz w:val="22"/>
                <w:szCs w:val="22"/>
              </w:rPr>
            </w:pPr>
            <w:r w:rsidRPr="00EF6017">
              <w:rPr>
                <w:rFonts w:ascii="Cambria" w:hAnsi="Cambria" w:cs="Arial"/>
                <w:sz w:val="22"/>
                <w:szCs w:val="22"/>
              </w:rPr>
              <w:t>0</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EF6017">
            <w:pPr>
              <w:jc w:val="right"/>
              <w:rPr>
                <w:rFonts w:ascii="Cambria" w:hAnsi="Cambria" w:cs="Arial"/>
                <w:sz w:val="22"/>
                <w:szCs w:val="22"/>
              </w:rPr>
            </w:pPr>
            <w:r w:rsidRPr="00EF6017">
              <w:rPr>
                <w:rFonts w:ascii="Cambria" w:hAnsi="Cambria" w:cs="Arial"/>
                <w:sz w:val="22"/>
                <w:szCs w:val="22"/>
              </w:rPr>
              <w:t>5.90</w:t>
            </w:r>
          </w:p>
        </w:tc>
        <w:tc>
          <w:tcPr>
            <w:tcW w:w="1540" w:type="dxa"/>
            <w:tcBorders>
              <w:top w:val="nil"/>
              <w:left w:val="nil"/>
              <w:bottom w:val="single" w:sz="8" w:space="0" w:color="auto"/>
              <w:right w:val="single" w:sz="8" w:space="0" w:color="auto"/>
            </w:tcBorders>
            <w:shd w:val="clear" w:color="auto" w:fill="auto"/>
            <w:vAlign w:val="center"/>
            <w:hideMark/>
          </w:tcPr>
          <w:p w:rsidR="00880E01" w:rsidRPr="00EF6017" w:rsidRDefault="00EF6017">
            <w:pPr>
              <w:jc w:val="right"/>
              <w:rPr>
                <w:rFonts w:ascii="Cambria" w:hAnsi="Cambria" w:cs="Arial"/>
                <w:i/>
                <w:iCs/>
                <w:sz w:val="22"/>
                <w:szCs w:val="22"/>
              </w:rPr>
            </w:pPr>
            <w:r w:rsidRPr="00EF6017">
              <w:rPr>
                <w:rFonts w:ascii="Cambria" w:hAnsi="Cambria" w:cs="Arial"/>
                <w:i/>
                <w:iCs/>
                <w:sz w:val="22"/>
                <w:szCs w:val="22"/>
              </w:rPr>
              <w:t>5.90</w:t>
            </w:r>
          </w:p>
        </w:tc>
      </w:tr>
      <w:tr w:rsidR="00880E01" w:rsidRPr="00345D14"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Pr="00EF6017" w:rsidRDefault="00880E01">
            <w:pPr>
              <w:rPr>
                <w:rFonts w:ascii="Cambria" w:hAnsi="Cambria" w:cs="Arial"/>
              </w:rPr>
            </w:pPr>
            <w:r w:rsidRPr="00EF6017">
              <w:rPr>
                <w:rFonts w:ascii="Cambria" w:hAnsi="Cambria" w:cs="Arial"/>
              </w:rPr>
              <w:t>Reasonable Return</w:t>
            </w:r>
          </w:p>
        </w:tc>
        <w:tc>
          <w:tcPr>
            <w:tcW w:w="1540" w:type="dxa"/>
            <w:tcBorders>
              <w:top w:val="nil"/>
              <w:left w:val="nil"/>
              <w:bottom w:val="single" w:sz="8" w:space="0" w:color="auto"/>
              <w:right w:val="single" w:sz="8" w:space="0" w:color="auto"/>
            </w:tcBorders>
            <w:shd w:val="clear" w:color="000000" w:fill="FFFFFF"/>
            <w:vAlign w:val="center"/>
            <w:hideMark/>
          </w:tcPr>
          <w:p w:rsidR="00880E01" w:rsidRPr="00EF6017" w:rsidRDefault="00880E01">
            <w:pPr>
              <w:rPr>
                <w:rFonts w:ascii="Cambria" w:hAnsi="Cambria" w:cs="Arial"/>
              </w:rPr>
            </w:pPr>
            <w:r w:rsidRPr="00EF6017">
              <w:rPr>
                <w:rFonts w:ascii="Cambria" w:hAnsi="Cambria" w:cs="Arial"/>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880E01">
            <w:pPr>
              <w:jc w:val="right"/>
              <w:rPr>
                <w:rFonts w:ascii="Cambria" w:hAnsi="Cambria" w:cs="Arial"/>
                <w:sz w:val="22"/>
                <w:szCs w:val="22"/>
              </w:rPr>
            </w:pPr>
            <w:r w:rsidRPr="00EF6017">
              <w:rPr>
                <w:rFonts w:ascii="Cambria" w:hAnsi="Cambria" w:cs="Arial"/>
                <w:sz w:val="22"/>
                <w:szCs w:val="22"/>
              </w:rPr>
              <w:t>10.55</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880E01">
            <w:pPr>
              <w:jc w:val="right"/>
              <w:rPr>
                <w:rFonts w:ascii="Cambria" w:hAnsi="Cambria" w:cs="Arial"/>
                <w:sz w:val="22"/>
                <w:szCs w:val="22"/>
              </w:rPr>
            </w:pPr>
            <w:r w:rsidRPr="00EF6017">
              <w:rPr>
                <w:rFonts w:ascii="Cambria" w:hAnsi="Cambria" w:cs="Arial"/>
                <w:sz w:val="22"/>
                <w:szCs w:val="22"/>
              </w:rPr>
              <w:t>10.55</w:t>
            </w:r>
          </w:p>
        </w:tc>
        <w:tc>
          <w:tcPr>
            <w:tcW w:w="1540" w:type="dxa"/>
            <w:tcBorders>
              <w:top w:val="nil"/>
              <w:left w:val="nil"/>
              <w:bottom w:val="single" w:sz="8" w:space="0" w:color="auto"/>
              <w:right w:val="single" w:sz="8" w:space="0" w:color="auto"/>
            </w:tcBorders>
            <w:shd w:val="clear" w:color="auto" w:fill="auto"/>
            <w:vAlign w:val="center"/>
            <w:hideMark/>
          </w:tcPr>
          <w:p w:rsidR="00880E01" w:rsidRPr="00EF6017" w:rsidRDefault="00880E01">
            <w:pPr>
              <w:jc w:val="right"/>
              <w:rPr>
                <w:rFonts w:ascii="Cambria" w:hAnsi="Cambria" w:cs="Arial"/>
                <w:i/>
                <w:iCs/>
                <w:sz w:val="22"/>
                <w:szCs w:val="22"/>
              </w:rPr>
            </w:pPr>
            <w:r w:rsidRPr="00EF6017">
              <w:rPr>
                <w:rFonts w:ascii="Cambria" w:hAnsi="Cambria" w:cs="Arial"/>
                <w:i/>
                <w:iCs/>
                <w:sz w:val="22"/>
                <w:szCs w:val="22"/>
              </w:rPr>
              <w:t>(0.00)</w:t>
            </w:r>
          </w:p>
        </w:tc>
      </w:tr>
      <w:tr w:rsidR="00880E01" w:rsidTr="00880E01">
        <w:trPr>
          <w:trHeight w:val="480"/>
        </w:trPr>
        <w:tc>
          <w:tcPr>
            <w:tcW w:w="2422" w:type="dxa"/>
            <w:tcBorders>
              <w:top w:val="nil"/>
              <w:left w:val="single" w:sz="8" w:space="0" w:color="auto"/>
              <w:bottom w:val="single" w:sz="8" w:space="0" w:color="auto"/>
              <w:right w:val="single" w:sz="8" w:space="0" w:color="auto"/>
            </w:tcBorders>
            <w:shd w:val="clear" w:color="000000" w:fill="FFFFFF"/>
            <w:noWrap/>
            <w:vAlign w:val="center"/>
            <w:hideMark/>
          </w:tcPr>
          <w:p w:rsidR="00880E01" w:rsidRPr="00EF6017" w:rsidRDefault="00880E01">
            <w:pPr>
              <w:rPr>
                <w:rFonts w:ascii="Cambria" w:hAnsi="Cambria" w:cs="Arial"/>
                <w:b/>
                <w:bCs/>
              </w:rPr>
            </w:pPr>
            <w:r w:rsidRPr="00EF6017">
              <w:rPr>
                <w:rFonts w:ascii="Cambria" w:hAnsi="Cambria" w:cs="Arial"/>
                <w:b/>
                <w:bCs/>
              </w:rPr>
              <w:lastRenderedPageBreak/>
              <w:t>Excess/(deficit)</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880E01">
            <w:pPr>
              <w:rPr>
                <w:rFonts w:ascii="Cambria" w:hAnsi="Cambria" w:cs="Arial"/>
                <w:b/>
                <w:bCs/>
              </w:rPr>
            </w:pPr>
            <w:r w:rsidRPr="00EF6017">
              <w:rPr>
                <w:rFonts w:ascii="Cambria" w:hAnsi="Cambria" w:cs="Arial"/>
                <w:b/>
                <w:bCs/>
              </w:rPr>
              <w:t>Rs Crore</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EF6017">
            <w:pPr>
              <w:jc w:val="right"/>
              <w:rPr>
                <w:rFonts w:ascii="Cambria" w:hAnsi="Cambria" w:cs="Arial"/>
                <w:b/>
                <w:bCs/>
                <w:sz w:val="22"/>
                <w:szCs w:val="22"/>
              </w:rPr>
            </w:pPr>
            <w:r w:rsidRPr="00EF6017">
              <w:rPr>
                <w:rFonts w:ascii="Cambria" w:hAnsi="Cambria" w:cs="Arial"/>
                <w:b/>
                <w:bCs/>
                <w:sz w:val="22"/>
                <w:szCs w:val="22"/>
              </w:rPr>
              <w:t>0.12</w:t>
            </w:r>
          </w:p>
        </w:tc>
        <w:tc>
          <w:tcPr>
            <w:tcW w:w="1540" w:type="dxa"/>
            <w:tcBorders>
              <w:top w:val="nil"/>
              <w:left w:val="nil"/>
              <w:bottom w:val="single" w:sz="8" w:space="0" w:color="auto"/>
              <w:right w:val="single" w:sz="8" w:space="0" w:color="auto"/>
            </w:tcBorders>
            <w:shd w:val="clear" w:color="000000" w:fill="FFFFFF"/>
            <w:noWrap/>
            <w:vAlign w:val="center"/>
            <w:hideMark/>
          </w:tcPr>
          <w:p w:rsidR="00880E01" w:rsidRPr="00EF6017" w:rsidRDefault="00EF6017">
            <w:pPr>
              <w:jc w:val="right"/>
              <w:rPr>
                <w:rFonts w:ascii="Cambria" w:hAnsi="Cambria" w:cs="Arial"/>
                <w:b/>
                <w:bCs/>
                <w:sz w:val="22"/>
                <w:szCs w:val="22"/>
              </w:rPr>
            </w:pPr>
            <w:r w:rsidRPr="00EF6017">
              <w:rPr>
                <w:rFonts w:ascii="Cambria" w:hAnsi="Cambria" w:cs="Arial"/>
                <w:b/>
                <w:bCs/>
                <w:sz w:val="22"/>
                <w:szCs w:val="22"/>
              </w:rPr>
              <w:t>(86.87)</w:t>
            </w:r>
          </w:p>
        </w:tc>
        <w:tc>
          <w:tcPr>
            <w:tcW w:w="1540" w:type="dxa"/>
            <w:tcBorders>
              <w:top w:val="nil"/>
              <w:left w:val="nil"/>
              <w:bottom w:val="single" w:sz="8" w:space="0" w:color="auto"/>
              <w:right w:val="single" w:sz="8" w:space="0" w:color="auto"/>
            </w:tcBorders>
            <w:shd w:val="clear" w:color="auto" w:fill="auto"/>
            <w:vAlign w:val="center"/>
            <w:hideMark/>
          </w:tcPr>
          <w:p w:rsidR="00880E01" w:rsidRPr="00EF6017" w:rsidRDefault="00EF6017">
            <w:pPr>
              <w:jc w:val="right"/>
              <w:rPr>
                <w:rFonts w:ascii="Cambria" w:hAnsi="Cambria" w:cs="Arial"/>
                <w:b/>
                <w:i/>
                <w:iCs/>
                <w:sz w:val="22"/>
                <w:szCs w:val="22"/>
              </w:rPr>
            </w:pPr>
            <w:r w:rsidRPr="00EF6017">
              <w:rPr>
                <w:rFonts w:ascii="Cambria" w:hAnsi="Cambria" w:cs="Arial"/>
                <w:b/>
                <w:i/>
                <w:iCs/>
                <w:sz w:val="22"/>
                <w:szCs w:val="22"/>
              </w:rPr>
              <w:t>(86.99)</w:t>
            </w:r>
          </w:p>
        </w:tc>
      </w:tr>
    </w:tbl>
    <w:p w:rsidR="004276A0" w:rsidRPr="00BF0E9D" w:rsidRDefault="00757C3F" w:rsidP="004276A0">
      <w:pPr>
        <w:spacing w:line="360" w:lineRule="auto"/>
        <w:jc w:val="both"/>
        <w:rPr>
          <w:rFonts w:ascii="Cambria" w:hAnsi="Cambria" w:cs="Arial"/>
        </w:rPr>
      </w:pPr>
      <w:r>
        <w:rPr>
          <w:rFonts w:ascii="Cambria" w:hAnsi="Cambria" w:cs="Arial"/>
        </w:rPr>
        <w:t>T</w:t>
      </w:r>
      <w:r w:rsidR="00E35127">
        <w:rPr>
          <w:rFonts w:ascii="Cambria" w:hAnsi="Cambria" w:cs="Arial"/>
        </w:rPr>
        <w:t xml:space="preserve">he utility has submitted </w:t>
      </w:r>
      <w:r>
        <w:rPr>
          <w:rFonts w:ascii="Cambria" w:hAnsi="Cambria" w:cs="Arial"/>
        </w:rPr>
        <w:t>that Hon’ble Commission may kindly to acknowledge the above factor accordingly.</w:t>
      </w:r>
    </w:p>
    <w:p w:rsidR="004276A0" w:rsidRPr="00BF0E9D" w:rsidRDefault="004276A0" w:rsidP="006935E2">
      <w:pPr>
        <w:pStyle w:val="Heading1"/>
        <w:numPr>
          <w:ilvl w:val="1"/>
          <w:numId w:val="9"/>
        </w:numPr>
        <w:spacing w:line="360" w:lineRule="auto"/>
        <w:ind w:left="1440"/>
        <w:jc w:val="both"/>
        <w:rPr>
          <w:rFonts w:ascii="Cambria" w:hAnsi="Cambria"/>
          <w:sz w:val="24"/>
          <w:szCs w:val="24"/>
        </w:rPr>
      </w:pPr>
      <w:bookmarkStart w:id="58" w:name="_Toc25850952"/>
      <w:r w:rsidRPr="00BF0E9D">
        <w:rPr>
          <w:rFonts w:ascii="Cambria" w:hAnsi="Cambria"/>
          <w:sz w:val="24"/>
          <w:szCs w:val="24"/>
        </w:rPr>
        <w:t>Revenue at Existing Tariffs</w:t>
      </w:r>
      <w:bookmarkEnd w:id="58"/>
    </w:p>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 xml:space="preserve">The </w:t>
      </w:r>
      <w:r w:rsidR="006C38E9">
        <w:rPr>
          <w:rFonts w:ascii="Cambria" w:hAnsi="Cambria" w:cs="Arial"/>
          <w:sz w:val="24"/>
          <w:szCs w:val="24"/>
        </w:rPr>
        <w:t>Utility</w:t>
      </w:r>
      <w:r w:rsidRPr="00BF0E9D">
        <w:rPr>
          <w:rFonts w:ascii="Cambria" w:hAnsi="Cambria" w:cs="Arial"/>
          <w:sz w:val="24"/>
          <w:szCs w:val="24"/>
        </w:rPr>
        <w:t xml:space="preserve"> has estimated the revenue from sale of power considering the sales projected for FY 20</w:t>
      </w:r>
      <w:r w:rsidR="00880E01">
        <w:rPr>
          <w:rFonts w:ascii="Cambria" w:hAnsi="Cambria" w:cs="Arial"/>
          <w:sz w:val="24"/>
          <w:szCs w:val="24"/>
        </w:rPr>
        <w:t>20</w:t>
      </w:r>
      <w:r w:rsidR="00345D14">
        <w:rPr>
          <w:rFonts w:ascii="Cambria" w:hAnsi="Cambria" w:cs="Arial"/>
          <w:sz w:val="24"/>
          <w:szCs w:val="24"/>
        </w:rPr>
        <w:t>-21</w:t>
      </w:r>
      <w:r w:rsidRPr="00BF0E9D">
        <w:rPr>
          <w:rFonts w:ascii="Cambria" w:hAnsi="Cambria" w:cs="Arial"/>
          <w:sz w:val="24"/>
          <w:szCs w:val="24"/>
        </w:rPr>
        <w:t xml:space="preserve"> and by applying the various components of existing tariffs. As detailed out in previous sections, the </w:t>
      </w:r>
      <w:r w:rsidR="006C38E9">
        <w:rPr>
          <w:rFonts w:ascii="Cambria" w:hAnsi="Cambria" w:cs="Arial"/>
          <w:sz w:val="24"/>
          <w:szCs w:val="24"/>
        </w:rPr>
        <w:t>Utility</w:t>
      </w:r>
      <w:r w:rsidRPr="00BF0E9D">
        <w:rPr>
          <w:rFonts w:ascii="Cambria" w:hAnsi="Cambria" w:cs="Arial"/>
          <w:sz w:val="24"/>
          <w:szCs w:val="24"/>
        </w:rPr>
        <w:t xml:space="preserve"> has adopted the approach considered by the Commission and estimated the revenue from sale of power on accrual basis. The total revenue based on the existing tariffs applicable for the projected sales is estimated at </w:t>
      </w:r>
      <w:r w:rsidR="00E35127" w:rsidRPr="00BF0E9D">
        <w:rPr>
          <w:rFonts w:ascii="Cambria" w:hAnsi="Cambria" w:cs="Arial"/>
          <w:sz w:val="24"/>
          <w:szCs w:val="24"/>
        </w:rPr>
        <w:t xml:space="preserve">Rs </w:t>
      </w:r>
      <w:r w:rsidR="00345D14">
        <w:rPr>
          <w:rFonts w:ascii="Cambria" w:hAnsi="Cambria" w:cs="Arial"/>
          <w:sz w:val="24"/>
          <w:szCs w:val="24"/>
        </w:rPr>
        <w:t>2623.17</w:t>
      </w:r>
      <w:r w:rsidR="00FE6640">
        <w:rPr>
          <w:rFonts w:ascii="Cambria" w:hAnsi="Cambria" w:cs="Arial"/>
          <w:sz w:val="24"/>
          <w:szCs w:val="24"/>
        </w:rPr>
        <w:t xml:space="preserve"> </w:t>
      </w:r>
      <w:r w:rsidRPr="00BF0E9D">
        <w:rPr>
          <w:rFonts w:ascii="Cambria" w:hAnsi="Cambria" w:cs="Arial"/>
          <w:sz w:val="24"/>
          <w:szCs w:val="24"/>
        </w:rPr>
        <w:t xml:space="preserve">Crore. </w:t>
      </w:r>
    </w:p>
    <w:p w:rsidR="004276A0" w:rsidRPr="00BF0E9D" w:rsidRDefault="004276A0" w:rsidP="004276A0">
      <w:pPr>
        <w:pStyle w:val="BodyText2"/>
        <w:spacing w:line="360" w:lineRule="auto"/>
        <w:jc w:val="both"/>
        <w:rPr>
          <w:rFonts w:ascii="Cambria" w:hAnsi="Cambria" w:cs="Arial"/>
          <w:sz w:val="24"/>
          <w:szCs w:val="24"/>
        </w:rPr>
      </w:pPr>
      <w:r w:rsidRPr="00BF0E9D">
        <w:rPr>
          <w:rFonts w:ascii="Cambria" w:hAnsi="Cambria" w:cs="Arial"/>
          <w:sz w:val="24"/>
          <w:szCs w:val="24"/>
        </w:rPr>
        <w:t xml:space="preserve">The </w:t>
      </w:r>
      <w:r w:rsidR="00E35127" w:rsidRPr="00BF0E9D">
        <w:rPr>
          <w:rFonts w:ascii="Cambria" w:hAnsi="Cambria" w:cs="Arial"/>
          <w:sz w:val="24"/>
          <w:szCs w:val="24"/>
        </w:rPr>
        <w:t>details of estimated revenue from different categories of consumers at existing tariffs are</w:t>
      </w:r>
      <w:r w:rsidRPr="00BF0E9D">
        <w:rPr>
          <w:rFonts w:ascii="Cambria" w:hAnsi="Cambria" w:cs="Arial"/>
          <w:sz w:val="24"/>
          <w:szCs w:val="24"/>
        </w:rPr>
        <w:t xml:space="preserve"> provided in FormT-7</w:t>
      </w:r>
      <w:r w:rsidR="00E35127">
        <w:rPr>
          <w:rFonts w:ascii="Cambria" w:hAnsi="Cambria" w:cs="Arial"/>
          <w:sz w:val="24"/>
          <w:szCs w:val="24"/>
        </w:rPr>
        <w:t xml:space="preserve"> </w:t>
      </w:r>
      <w:r w:rsidRPr="00BF0E9D">
        <w:rPr>
          <w:rFonts w:ascii="Cambria" w:hAnsi="Cambria" w:cs="Arial"/>
          <w:sz w:val="24"/>
          <w:szCs w:val="24"/>
        </w:rPr>
        <w:t>&amp;</w:t>
      </w:r>
      <w:r w:rsidR="00E35127">
        <w:rPr>
          <w:rFonts w:ascii="Cambria" w:hAnsi="Cambria" w:cs="Arial"/>
          <w:sz w:val="24"/>
          <w:szCs w:val="24"/>
        </w:rPr>
        <w:t xml:space="preserve"> </w:t>
      </w:r>
      <w:r w:rsidRPr="00BF0E9D">
        <w:rPr>
          <w:rFonts w:ascii="Cambria" w:hAnsi="Cambria" w:cs="Arial"/>
          <w:sz w:val="24"/>
          <w:szCs w:val="24"/>
        </w:rPr>
        <w:t xml:space="preserve">T- 8. The License humbly requests the Hon’ble Commission to estimate the revenue for estimated sales at existing tariff by duly considering the category-wise and slab wise in the format prescribed by the Hon’ble Commission </w:t>
      </w:r>
      <w:r w:rsidR="00E278DA">
        <w:rPr>
          <w:rFonts w:ascii="Cambria" w:hAnsi="Cambria" w:cs="Arial"/>
          <w:sz w:val="24"/>
          <w:szCs w:val="24"/>
        </w:rPr>
        <w:t xml:space="preserve">with </w:t>
      </w:r>
      <w:r w:rsidRPr="00BF0E9D">
        <w:rPr>
          <w:rFonts w:ascii="Cambria" w:hAnsi="Cambria" w:cs="Arial"/>
          <w:sz w:val="24"/>
          <w:szCs w:val="24"/>
        </w:rPr>
        <w:t xml:space="preserve">the </w:t>
      </w:r>
      <w:r w:rsidR="00E278DA">
        <w:rPr>
          <w:rFonts w:ascii="Cambria" w:hAnsi="Cambria" w:cs="Arial"/>
          <w:sz w:val="24"/>
          <w:szCs w:val="24"/>
        </w:rPr>
        <w:t xml:space="preserve">applicable </w:t>
      </w:r>
      <w:r w:rsidRPr="00BF0E9D">
        <w:rPr>
          <w:rFonts w:ascii="Cambria" w:hAnsi="Cambria" w:cs="Arial"/>
          <w:sz w:val="24"/>
          <w:szCs w:val="24"/>
        </w:rPr>
        <w:t xml:space="preserve">tariffs </w:t>
      </w:r>
      <w:r w:rsidR="00E278DA">
        <w:rPr>
          <w:rFonts w:ascii="Cambria" w:hAnsi="Cambria" w:cs="Arial"/>
          <w:sz w:val="24"/>
          <w:szCs w:val="24"/>
        </w:rPr>
        <w:t>in each category</w:t>
      </w:r>
      <w:r w:rsidRPr="00BF0E9D">
        <w:rPr>
          <w:rFonts w:ascii="Cambria" w:hAnsi="Cambria" w:cs="Arial"/>
          <w:sz w:val="24"/>
          <w:szCs w:val="24"/>
        </w:rPr>
        <w:t>.  With the implementation of the RGGVY</w:t>
      </w:r>
      <w:r w:rsidR="00757C3F">
        <w:rPr>
          <w:rFonts w:ascii="Cambria" w:hAnsi="Cambria" w:cs="Arial"/>
          <w:sz w:val="24"/>
          <w:szCs w:val="24"/>
        </w:rPr>
        <w:t>,</w:t>
      </w:r>
      <w:r w:rsidRPr="00BF0E9D">
        <w:rPr>
          <w:rFonts w:ascii="Cambria" w:hAnsi="Cambria" w:cs="Arial"/>
          <w:sz w:val="24"/>
          <w:szCs w:val="24"/>
        </w:rPr>
        <w:t xml:space="preserve"> BGJY </w:t>
      </w:r>
      <w:r w:rsidR="00757C3F">
        <w:rPr>
          <w:rFonts w:ascii="Cambria" w:hAnsi="Cambria" w:cs="Arial"/>
          <w:sz w:val="24"/>
          <w:szCs w:val="24"/>
        </w:rPr>
        <w:t xml:space="preserve">&amp; SAUBHAGYA </w:t>
      </w:r>
      <w:r w:rsidRPr="00BF0E9D">
        <w:rPr>
          <w:rFonts w:ascii="Cambria" w:hAnsi="Cambria" w:cs="Arial"/>
          <w:sz w:val="24"/>
          <w:szCs w:val="24"/>
        </w:rPr>
        <w:t>Schemes the sales mix shall be further skewed to the LT subsidized category.</w:t>
      </w:r>
    </w:p>
    <w:p w:rsidR="004276A0" w:rsidRPr="00BF0E9D" w:rsidRDefault="004276A0" w:rsidP="006935E2">
      <w:pPr>
        <w:pStyle w:val="Heading1"/>
        <w:numPr>
          <w:ilvl w:val="1"/>
          <w:numId w:val="9"/>
        </w:numPr>
        <w:spacing w:line="360" w:lineRule="auto"/>
        <w:ind w:left="1440"/>
        <w:jc w:val="both"/>
        <w:rPr>
          <w:rFonts w:ascii="Cambria" w:hAnsi="Cambria"/>
          <w:sz w:val="24"/>
          <w:szCs w:val="24"/>
        </w:rPr>
      </w:pPr>
      <w:bookmarkStart w:id="59" w:name="_Toc25850953"/>
      <w:r w:rsidRPr="00BF0E9D">
        <w:rPr>
          <w:rFonts w:ascii="Cambria" w:hAnsi="Cambria"/>
          <w:sz w:val="24"/>
          <w:szCs w:val="24"/>
        </w:rPr>
        <w:t>Summary of Annual Revenue Requirement and Revenue Gap</w:t>
      </w:r>
      <w:bookmarkEnd w:id="59"/>
    </w:p>
    <w:p w:rsidR="004276A0" w:rsidRDefault="004276A0" w:rsidP="00403F33">
      <w:pPr>
        <w:pStyle w:val="BodyText2"/>
        <w:spacing w:line="360" w:lineRule="auto"/>
        <w:jc w:val="both"/>
        <w:rPr>
          <w:rFonts w:ascii="Cambria" w:hAnsi="Cambria" w:cs="Arial"/>
          <w:sz w:val="24"/>
          <w:szCs w:val="24"/>
        </w:rPr>
      </w:pPr>
      <w:r w:rsidRPr="00BF0E9D">
        <w:rPr>
          <w:rFonts w:ascii="Cambria" w:hAnsi="Cambria" w:cs="Arial"/>
          <w:sz w:val="24"/>
          <w:szCs w:val="24"/>
        </w:rPr>
        <w:t>The summary of Annual Revenue Requirement, Revenue at Existing Tariffs and Reve</w:t>
      </w:r>
      <w:r w:rsidR="00E57C81">
        <w:rPr>
          <w:rFonts w:ascii="Cambria" w:hAnsi="Cambria" w:cs="Arial"/>
          <w:sz w:val="24"/>
          <w:szCs w:val="24"/>
        </w:rPr>
        <w:t>nue Gap for the ensuing year 2020-21</w:t>
      </w:r>
      <w:r w:rsidR="001F7362">
        <w:rPr>
          <w:rFonts w:ascii="Cambria" w:hAnsi="Cambria" w:cs="Arial"/>
          <w:sz w:val="24"/>
          <w:szCs w:val="24"/>
        </w:rPr>
        <w:t xml:space="preserve"> </w:t>
      </w:r>
      <w:r w:rsidRPr="00BF0E9D">
        <w:rPr>
          <w:rFonts w:ascii="Cambria" w:hAnsi="Cambria" w:cs="Arial"/>
          <w:sz w:val="24"/>
          <w:szCs w:val="24"/>
        </w:rPr>
        <w:t>is provided below.</w:t>
      </w:r>
    </w:p>
    <w:p w:rsidR="00FD1A94" w:rsidRDefault="00FD1A94" w:rsidP="00FD1A94">
      <w:pPr>
        <w:pStyle w:val="Caption"/>
        <w:keepNext/>
        <w:spacing w:line="360" w:lineRule="auto"/>
        <w:rPr>
          <w:rFonts w:ascii="Cambria" w:hAnsi="Cambria" w:cs="Arial"/>
          <w:b/>
          <w:color w:val="000000"/>
          <w:sz w:val="24"/>
          <w:szCs w:val="24"/>
        </w:rPr>
      </w:pPr>
      <w:r w:rsidRPr="0011654B">
        <w:rPr>
          <w:rFonts w:ascii="Cambria" w:hAnsi="Cambria" w:cs="Arial"/>
          <w:b/>
          <w:color w:val="000000"/>
          <w:sz w:val="24"/>
          <w:szCs w:val="24"/>
        </w:rPr>
        <w:t xml:space="preserve">Table 1A : Revenue Gap </w:t>
      </w:r>
    </w:p>
    <w:tbl>
      <w:tblPr>
        <w:tblW w:w="8926"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6127"/>
        <w:gridCol w:w="2799"/>
      </w:tblGrid>
      <w:tr w:rsidR="001B58BF" w:rsidRPr="0011654B" w:rsidTr="00F42E0C">
        <w:trPr>
          <w:trHeight w:val="340"/>
          <w:jc w:val="center"/>
        </w:trPr>
        <w:tc>
          <w:tcPr>
            <w:tcW w:w="6127" w:type="dxa"/>
            <w:shd w:val="solid" w:color="000080" w:fill="FFFFFF"/>
          </w:tcPr>
          <w:p w:rsidR="001B58BF" w:rsidRPr="0011654B" w:rsidRDefault="001B58BF" w:rsidP="00F42E0C">
            <w:pPr>
              <w:rPr>
                <w:rFonts w:ascii="Cambria" w:hAnsi="Cambria" w:cs="Arial"/>
                <w:b/>
                <w:bCs/>
                <w:color w:val="000000"/>
              </w:rPr>
            </w:pPr>
          </w:p>
        </w:tc>
        <w:tc>
          <w:tcPr>
            <w:tcW w:w="2799" w:type="dxa"/>
            <w:shd w:val="solid" w:color="000080" w:fill="FFFFFF"/>
          </w:tcPr>
          <w:p w:rsidR="001B58BF" w:rsidRPr="0011654B" w:rsidRDefault="001B58BF" w:rsidP="00F42E0C">
            <w:pPr>
              <w:jc w:val="center"/>
              <w:rPr>
                <w:rFonts w:ascii="Cambria" w:hAnsi="Cambria" w:cs="Arial"/>
                <w:b/>
                <w:bCs/>
                <w:color w:val="000000"/>
              </w:rPr>
            </w:pPr>
            <w:r w:rsidRPr="0011654B">
              <w:rPr>
                <w:rFonts w:ascii="Cambria" w:hAnsi="Cambria" w:cs="Arial"/>
                <w:b/>
                <w:color w:val="000000"/>
              </w:rPr>
              <w:t>Rs Crore</w:t>
            </w:r>
          </w:p>
        </w:tc>
      </w:tr>
      <w:tr w:rsidR="001B58BF" w:rsidRPr="0011654B" w:rsidTr="00F42E0C">
        <w:trPr>
          <w:trHeight w:val="340"/>
          <w:jc w:val="center"/>
        </w:trPr>
        <w:tc>
          <w:tcPr>
            <w:tcW w:w="6127" w:type="dxa"/>
            <w:vAlign w:val="center"/>
          </w:tcPr>
          <w:p w:rsidR="001B58BF" w:rsidRPr="0011654B" w:rsidRDefault="001B58BF" w:rsidP="00F42E0C">
            <w:pPr>
              <w:keepNext/>
              <w:keepLines/>
              <w:autoSpaceDE w:val="0"/>
              <w:autoSpaceDN w:val="0"/>
              <w:adjustRightInd w:val="0"/>
              <w:outlineLvl w:val="0"/>
              <w:rPr>
                <w:rFonts w:ascii="Cambria" w:hAnsi="Cambria" w:cs="Arial"/>
                <w:color w:val="000000"/>
                <w:lang w:val="en-GB"/>
              </w:rPr>
            </w:pPr>
          </w:p>
          <w:p w:rsidR="001B58BF" w:rsidRPr="0011654B" w:rsidRDefault="001B58BF" w:rsidP="00F42E0C">
            <w:pPr>
              <w:autoSpaceDE w:val="0"/>
              <w:autoSpaceDN w:val="0"/>
              <w:adjustRightInd w:val="0"/>
              <w:rPr>
                <w:rFonts w:ascii="Cambria" w:hAnsi="Cambria" w:cs="Arial"/>
                <w:color w:val="000000"/>
                <w:lang w:val="en-GB"/>
              </w:rPr>
            </w:pPr>
            <w:r w:rsidRPr="0011654B">
              <w:rPr>
                <w:rFonts w:ascii="Cambria" w:hAnsi="Cambria" w:cs="Arial"/>
                <w:color w:val="000000"/>
                <w:lang w:val="en-GB"/>
              </w:rPr>
              <w:t xml:space="preserve">Expenditure including Special Appropriation </w:t>
            </w:r>
          </w:p>
          <w:p w:rsidR="001B58BF" w:rsidRPr="0011654B" w:rsidRDefault="001B58BF" w:rsidP="00F42E0C">
            <w:pPr>
              <w:autoSpaceDE w:val="0"/>
              <w:autoSpaceDN w:val="0"/>
              <w:adjustRightInd w:val="0"/>
              <w:rPr>
                <w:rFonts w:ascii="Cambria" w:hAnsi="Cambria" w:cs="Arial"/>
                <w:color w:val="000000"/>
                <w:lang w:val="en-GB"/>
              </w:rPr>
            </w:pPr>
          </w:p>
        </w:tc>
        <w:tc>
          <w:tcPr>
            <w:tcW w:w="2799" w:type="dxa"/>
            <w:vAlign w:val="center"/>
          </w:tcPr>
          <w:p w:rsidR="001B58BF" w:rsidRPr="00FC0224" w:rsidRDefault="001B58BF" w:rsidP="00F42E0C">
            <w:pPr>
              <w:autoSpaceDE w:val="0"/>
              <w:autoSpaceDN w:val="0"/>
              <w:adjustRightInd w:val="0"/>
              <w:jc w:val="center"/>
              <w:rPr>
                <w:rFonts w:ascii="Cambria" w:hAnsi="Cambria" w:cs="Arial"/>
                <w:color w:val="000000"/>
                <w:lang w:val="en-GB"/>
              </w:rPr>
            </w:pPr>
            <w:r w:rsidRPr="00FC0224">
              <w:rPr>
                <w:rFonts w:ascii="Cambria" w:hAnsi="Cambria" w:cs="Arial"/>
                <w:color w:val="000000"/>
                <w:lang w:val="en-GB"/>
              </w:rPr>
              <w:t>2928.75</w:t>
            </w:r>
          </w:p>
        </w:tc>
      </w:tr>
      <w:tr w:rsidR="001B58BF" w:rsidRPr="0011654B" w:rsidTr="00F42E0C">
        <w:trPr>
          <w:trHeight w:val="340"/>
          <w:jc w:val="center"/>
        </w:trPr>
        <w:tc>
          <w:tcPr>
            <w:tcW w:w="6127" w:type="dxa"/>
            <w:vAlign w:val="center"/>
          </w:tcPr>
          <w:p w:rsidR="001B58BF" w:rsidRPr="0011654B" w:rsidRDefault="001B58BF" w:rsidP="00F42E0C">
            <w:pPr>
              <w:autoSpaceDE w:val="0"/>
              <w:autoSpaceDN w:val="0"/>
              <w:adjustRightInd w:val="0"/>
              <w:rPr>
                <w:rFonts w:ascii="Cambria" w:hAnsi="Cambria" w:cs="Arial"/>
                <w:color w:val="000000"/>
                <w:lang w:val="en-GB"/>
              </w:rPr>
            </w:pPr>
            <w:r w:rsidRPr="0011654B">
              <w:rPr>
                <w:rFonts w:ascii="Cambria" w:hAnsi="Cambria" w:cs="Arial"/>
                <w:color w:val="000000"/>
                <w:lang w:val="en-GB"/>
              </w:rPr>
              <w:t xml:space="preserve">Reasonable return </w:t>
            </w:r>
          </w:p>
        </w:tc>
        <w:tc>
          <w:tcPr>
            <w:tcW w:w="2799" w:type="dxa"/>
            <w:vAlign w:val="center"/>
          </w:tcPr>
          <w:p w:rsidR="001B58BF" w:rsidRPr="00FC0224" w:rsidRDefault="001B58BF" w:rsidP="00F42E0C">
            <w:pPr>
              <w:autoSpaceDE w:val="0"/>
              <w:autoSpaceDN w:val="0"/>
              <w:adjustRightInd w:val="0"/>
              <w:jc w:val="center"/>
              <w:rPr>
                <w:rFonts w:ascii="Cambria" w:hAnsi="Cambria" w:cs="Arial"/>
                <w:color w:val="000000"/>
                <w:lang w:val="en-GB"/>
              </w:rPr>
            </w:pPr>
            <w:r w:rsidRPr="00FC0224">
              <w:rPr>
                <w:rFonts w:ascii="Cambria" w:hAnsi="Cambria" w:cs="Arial"/>
                <w:color w:val="000000"/>
                <w:lang w:val="en-GB"/>
              </w:rPr>
              <w:t>10.55</w:t>
            </w:r>
          </w:p>
        </w:tc>
      </w:tr>
      <w:tr w:rsidR="001B58BF" w:rsidRPr="0011654B" w:rsidTr="00F42E0C">
        <w:trPr>
          <w:trHeight w:val="340"/>
          <w:jc w:val="center"/>
        </w:trPr>
        <w:tc>
          <w:tcPr>
            <w:tcW w:w="6127" w:type="dxa"/>
            <w:vAlign w:val="center"/>
          </w:tcPr>
          <w:p w:rsidR="001B58BF" w:rsidRPr="0011654B" w:rsidRDefault="001B58BF" w:rsidP="00F42E0C">
            <w:pPr>
              <w:autoSpaceDE w:val="0"/>
              <w:autoSpaceDN w:val="0"/>
              <w:adjustRightInd w:val="0"/>
              <w:rPr>
                <w:rFonts w:ascii="Cambria" w:hAnsi="Cambria" w:cs="Arial"/>
                <w:color w:val="000000"/>
                <w:lang w:val="en-GB"/>
              </w:rPr>
            </w:pPr>
            <w:r w:rsidRPr="0011654B">
              <w:rPr>
                <w:rFonts w:ascii="Cambria" w:hAnsi="Cambria" w:cs="Arial"/>
                <w:color w:val="000000"/>
                <w:lang w:val="en-GB"/>
              </w:rPr>
              <w:t>Sub Total</w:t>
            </w:r>
          </w:p>
        </w:tc>
        <w:tc>
          <w:tcPr>
            <w:tcW w:w="2799" w:type="dxa"/>
            <w:vAlign w:val="center"/>
          </w:tcPr>
          <w:p w:rsidR="001B58BF" w:rsidRPr="00FC0224" w:rsidRDefault="001B58BF" w:rsidP="00F42E0C">
            <w:pPr>
              <w:autoSpaceDE w:val="0"/>
              <w:autoSpaceDN w:val="0"/>
              <w:adjustRightInd w:val="0"/>
              <w:jc w:val="center"/>
              <w:rPr>
                <w:rFonts w:ascii="Cambria" w:hAnsi="Cambria" w:cs="Arial"/>
                <w:b/>
                <w:color w:val="000000"/>
                <w:lang w:val="en-GB"/>
              </w:rPr>
            </w:pPr>
            <w:r w:rsidRPr="00FC0224">
              <w:rPr>
                <w:rFonts w:ascii="Cambria" w:hAnsi="Cambria" w:cs="Arial"/>
                <w:b/>
                <w:color w:val="000000"/>
                <w:lang w:val="en-GB"/>
              </w:rPr>
              <w:t>2939.30</w:t>
            </w:r>
          </w:p>
        </w:tc>
      </w:tr>
      <w:tr w:rsidR="001B58BF" w:rsidRPr="0011654B" w:rsidTr="00F42E0C">
        <w:trPr>
          <w:trHeight w:val="340"/>
          <w:jc w:val="center"/>
        </w:trPr>
        <w:tc>
          <w:tcPr>
            <w:tcW w:w="6127" w:type="dxa"/>
            <w:vAlign w:val="center"/>
          </w:tcPr>
          <w:p w:rsidR="001B58BF" w:rsidRPr="0011654B" w:rsidRDefault="001B58BF" w:rsidP="00F42E0C">
            <w:pPr>
              <w:autoSpaceDE w:val="0"/>
              <w:autoSpaceDN w:val="0"/>
              <w:adjustRightInd w:val="0"/>
              <w:rPr>
                <w:rFonts w:ascii="Cambria" w:hAnsi="Cambria" w:cs="Arial"/>
                <w:color w:val="000000"/>
                <w:lang w:val="en-GB"/>
              </w:rPr>
            </w:pPr>
            <w:r w:rsidRPr="0011654B">
              <w:rPr>
                <w:rFonts w:ascii="Cambria" w:hAnsi="Cambria" w:cs="Arial"/>
                <w:color w:val="000000"/>
                <w:lang w:val="en-GB"/>
              </w:rPr>
              <w:t xml:space="preserve">Revenue from sale of power at existing tariffs </w:t>
            </w:r>
          </w:p>
        </w:tc>
        <w:tc>
          <w:tcPr>
            <w:tcW w:w="2799" w:type="dxa"/>
            <w:vAlign w:val="center"/>
          </w:tcPr>
          <w:p w:rsidR="001B58BF" w:rsidRPr="00FC0224" w:rsidRDefault="001B58BF" w:rsidP="00F42E0C">
            <w:pPr>
              <w:autoSpaceDE w:val="0"/>
              <w:autoSpaceDN w:val="0"/>
              <w:adjustRightInd w:val="0"/>
              <w:jc w:val="center"/>
              <w:rPr>
                <w:rFonts w:ascii="Cambria" w:hAnsi="Cambria" w:cs="Arial"/>
                <w:color w:val="000000"/>
                <w:lang w:val="en-GB"/>
              </w:rPr>
            </w:pPr>
            <w:r w:rsidRPr="00FC0224">
              <w:rPr>
                <w:rFonts w:ascii="Cambria" w:hAnsi="Cambria" w:cs="Arial"/>
                <w:color w:val="000000"/>
                <w:lang w:val="en-GB"/>
              </w:rPr>
              <w:t>2623.18</w:t>
            </w:r>
          </w:p>
        </w:tc>
      </w:tr>
      <w:tr w:rsidR="001B58BF" w:rsidRPr="0011654B" w:rsidTr="00F42E0C">
        <w:trPr>
          <w:trHeight w:val="340"/>
          <w:jc w:val="center"/>
        </w:trPr>
        <w:tc>
          <w:tcPr>
            <w:tcW w:w="6127" w:type="dxa"/>
            <w:vAlign w:val="center"/>
          </w:tcPr>
          <w:p w:rsidR="001B58BF" w:rsidRPr="0011654B" w:rsidRDefault="001B58BF" w:rsidP="00F42E0C">
            <w:pPr>
              <w:autoSpaceDE w:val="0"/>
              <w:autoSpaceDN w:val="0"/>
              <w:adjustRightInd w:val="0"/>
              <w:rPr>
                <w:rFonts w:ascii="Cambria" w:hAnsi="Cambria" w:cs="Arial"/>
                <w:color w:val="000000"/>
                <w:lang w:val="en-GB"/>
              </w:rPr>
            </w:pPr>
            <w:r w:rsidRPr="0011654B">
              <w:rPr>
                <w:rFonts w:ascii="Cambria" w:hAnsi="Cambria" w:cs="Arial"/>
                <w:color w:val="000000"/>
                <w:lang w:val="en-GB"/>
              </w:rPr>
              <w:t>Non Tariff Income</w:t>
            </w:r>
          </w:p>
        </w:tc>
        <w:tc>
          <w:tcPr>
            <w:tcW w:w="2799" w:type="dxa"/>
            <w:vAlign w:val="center"/>
          </w:tcPr>
          <w:p w:rsidR="001B58BF" w:rsidRPr="00FC0224" w:rsidRDefault="001B58BF" w:rsidP="00F42E0C">
            <w:pPr>
              <w:autoSpaceDE w:val="0"/>
              <w:autoSpaceDN w:val="0"/>
              <w:adjustRightInd w:val="0"/>
              <w:jc w:val="center"/>
              <w:rPr>
                <w:rFonts w:ascii="Cambria" w:hAnsi="Cambria" w:cs="Arial"/>
                <w:color w:val="000000"/>
                <w:lang w:val="en-GB"/>
              </w:rPr>
            </w:pPr>
            <w:r w:rsidRPr="00FC0224">
              <w:rPr>
                <w:rFonts w:ascii="Cambria" w:hAnsi="Cambria" w:cs="Arial"/>
                <w:color w:val="000000"/>
                <w:lang w:val="en-GB"/>
              </w:rPr>
              <w:t>78.85</w:t>
            </w:r>
          </w:p>
        </w:tc>
      </w:tr>
      <w:tr w:rsidR="001B58BF" w:rsidRPr="0011654B" w:rsidTr="00F42E0C">
        <w:trPr>
          <w:trHeight w:val="340"/>
          <w:jc w:val="center"/>
        </w:trPr>
        <w:tc>
          <w:tcPr>
            <w:tcW w:w="6127" w:type="dxa"/>
            <w:vAlign w:val="center"/>
          </w:tcPr>
          <w:p w:rsidR="001B58BF" w:rsidRPr="0011654B" w:rsidRDefault="001B58BF" w:rsidP="00F42E0C">
            <w:pPr>
              <w:autoSpaceDE w:val="0"/>
              <w:autoSpaceDN w:val="0"/>
              <w:adjustRightInd w:val="0"/>
              <w:rPr>
                <w:rFonts w:ascii="Cambria" w:hAnsi="Cambria" w:cs="Arial"/>
                <w:color w:val="000000"/>
                <w:lang w:val="en-GB"/>
              </w:rPr>
            </w:pPr>
            <w:r w:rsidRPr="0011654B">
              <w:rPr>
                <w:rFonts w:ascii="Cambria" w:hAnsi="Cambria" w:cs="Arial"/>
                <w:color w:val="000000"/>
                <w:lang w:val="en-GB"/>
              </w:rPr>
              <w:t>TOTAL REVENUE GAP</w:t>
            </w:r>
          </w:p>
        </w:tc>
        <w:tc>
          <w:tcPr>
            <w:tcW w:w="2799" w:type="dxa"/>
            <w:vAlign w:val="center"/>
          </w:tcPr>
          <w:p w:rsidR="001B58BF" w:rsidRPr="00FC0224" w:rsidRDefault="001B58BF" w:rsidP="00F42E0C">
            <w:pPr>
              <w:autoSpaceDE w:val="0"/>
              <w:autoSpaceDN w:val="0"/>
              <w:adjustRightInd w:val="0"/>
              <w:jc w:val="center"/>
              <w:rPr>
                <w:rFonts w:ascii="Cambria" w:hAnsi="Cambria" w:cs="Arial"/>
                <w:b/>
                <w:color w:val="000000"/>
                <w:lang w:val="en-GB"/>
              </w:rPr>
            </w:pPr>
            <w:r w:rsidRPr="00FC0224">
              <w:rPr>
                <w:rFonts w:ascii="Cambria" w:hAnsi="Cambria" w:cs="Arial"/>
                <w:b/>
                <w:color w:val="000000"/>
                <w:lang w:val="en-GB"/>
              </w:rPr>
              <w:t>237.27</w:t>
            </w:r>
          </w:p>
        </w:tc>
      </w:tr>
    </w:tbl>
    <w:p w:rsidR="001B58BF" w:rsidRDefault="001B58BF" w:rsidP="001B58BF">
      <w:pPr>
        <w:rPr>
          <w:lang w:val="en-GB"/>
        </w:rPr>
      </w:pPr>
    </w:p>
    <w:p w:rsidR="00FD1A94" w:rsidRDefault="00FD1A94" w:rsidP="00FD1A94">
      <w:pPr>
        <w:pStyle w:val="BodyText2"/>
        <w:jc w:val="both"/>
        <w:rPr>
          <w:rFonts w:ascii="Cambria" w:hAnsi="Cambria" w:cs="Arial"/>
          <w:color w:val="000000"/>
          <w:lang w:val="en-GB"/>
        </w:rPr>
      </w:pPr>
      <w:r w:rsidRPr="0011654B">
        <w:rPr>
          <w:rFonts w:ascii="Cambria" w:hAnsi="Cambria" w:cs="Arial"/>
          <w:color w:val="000000"/>
          <w:sz w:val="24"/>
          <w:szCs w:val="24"/>
          <w:lang w:val="en-GB"/>
        </w:rPr>
        <w:t>T</w:t>
      </w:r>
      <w:r w:rsidR="004826B5">
        <w:rPr>
          <w:rFonts w:ascii="Cambria" w:hAnsi="Cambria" w:cs="Arial"/>
          <w:color w:val="000000"/>
          <w:sz w:val="24"/>
          <w:szCs w:val="24"/>
          <w:lang w:val="en-GB"/>
        </w:rPr>
        <w:t>he revenue gap for the year 2020-21</w:t>
      </w:r>
      <w:r w:rsidRPr="0011654B">
        <w:rPr>
          <w:rFonts w:ascii="Cambria" w:hAnsi="Cambria" w:cs="Arial"/>
          <w:color w:val="000000"/>
          <w:sz w:val="24"/>
          <w:szCs w:val="24"/>
          <w:lang w:val="en-GB"/>
        </w:rPr>
        <w:t>, con</w:t>
      </w:r>
      <w:r w:rsidR="004826B5">
        <w:rPr>
          <w:rFonts w:ascii="Cambria" w:hAnsi="Cambria" w:cs="Arial"/>
          <w:color w:val="000000"/>
          <w:sz w:val="24"/>
          <w:szCs w:val="24"/>
          <w:lang w:val="en-GB"/>
        </w:rPr>
        <w:t>sidering the BSP rate at FY 2019-20</w:t>
      </w:r>
      <w:r w:rsidRPr="0011654B">
        <w:rPr>
          <w:rFonts w:ascii="Cambria" w:hAnsi="Cambria" w:cs="Arial"/>
          <w:color w:val="000000"/>
          <w:sz w:val="24"/>
          <w:szCs w:val="24"/>
          <w:lang w:val="en-GB"/>
        </w:rPr>
        <w:t xml:space="preserve"> is arrived at Rs.</w:t>
      </w:r>
      <w:r w:rsidR="00CD0A6B">
        <w:rPr>
          <w:rFonts w:ascii="Cambria" w:hAnsi="Cambria" w:cs="Arial"/>
          <w:color w:val="000000"/>
          <w:sz w:val="24"/>
          <w:szCs w:val="24"/>
          <w:lang w:val="en-GB"/>
        </w:rPr>
        <w:t>2</w:t>
      </w:r>
      <w:r w:rsidR="001B58BF">
        <w:rPr>
          <w:rFonts w:ascii="Cambria" w:hAnsi="Cambria" w:cs="Arial"/>
          <w:color w:val="000000"/>
          <w:sz w:val="24"/>
          <w:szCs w:val="24"/>
          <w:lang w:val="en-GB"/>
        </w:rPr>
        <w:t>37.27</w:t>
      </w:r>
      <w:r w:rsidRPr="0011654B">
        <w:rPr>
          <w:rFonts w:ascii="Cambria" w:hAnsi="Cambria" w:cs="Arial"/>
          <w:color w:val="000000"/>
          <w:sz w:val="24"/>
          <w:szCs w:val="24"/>
          <w:lang w:val="en-GB"/>
        </w:rPr>
        <w:t xml:space="preserve"> crores</w:t>
      </w:r>
      <w:r w:rsidRPr="0011654B">
        <w:rPr>
          <w:rFonts w:ascii="Cambria" w:hAnsi="Cambria" w:cs="Arial"/>
          <w:color w:val="000000"/>
          <w:lang w:val="en-GB"/>
        </w:rPr>
        <w:t>.</w:t>
      </w:r>
    </w:p>
    <w:p w:rsidR="002B5826" w:rsidRDefault="002B5826" w:rsidP="00FD1A94">
      <w:pPr>
        <w:pStyle w:val="BodyText2"/>
        <w:jc w:val="both"/>
        <w:rPr>
          <w:rFonts w:ascii="Cambria" w:hAnsi="Cambria" w:cs="Arial"/>
          <w:b/>
          <w:color w:val="000000"/>
          <w:sz w:val="24"/>
          <w:szCs w:val="24"/>
          <w:u w:val="single"/>
          <w:lang w:val="en-GB"/>
        </w:rPr>
      </w:pPr>
    </w:p>
    <w:p w:rsidR="00FD1A94" w:rsidRDefault="00FD1A94" w:rsidP="00FD1A94">
      <w:pPr>
        <w:pStyle w:val="BodyText2"/>
        <w:spacing w:line="360" w:lineRule="auto"/>
        <w:jc w:val="both"/>
        <w:rPr>
          <w:rFonts w:ascii="Cambria" w:hAnsi="Cambria" w:cs="Arial"/>
          <w:b/>
          <w:color w:val="000000"/>
          <w:sz w:val="24"/>
          <w:szCs w:val="24"/>
          <w:u w:val="single"/>
          <w:lang w:val="en-GB"/>
        </w:rPr>
      </w:pPr>
      <w:r>
        <w:rPr>
          <w:rFonts w:ascii="Cambria" w:hAnsi="Cambria" w:cs="Arial"/>
          <w:b/>
          <w:color w:val="000000"/>
          <w:sz w:val="24"/>
          <w:szCs w:val="24"/>
          <w:u w:val="single"/>
          <w:lang w:val="en-GB"/>
        </w:rPr>
        <w:lastRenderedPageBreak/>
        <w:t xml:space="preserve">Revenue GAP </w:t>
      </w:r>
      <w:r w:rsidRPr="009A4719">
        <w:rPr>
          <w:rFonts w:ascii="Cambria" w:hAnsi="Cambria" w:cs="Arial"/>
          <w:b/>
          <w:color w:val="000000"/>
          <w:sz w:val="24"/>
          <w:szCs w:val="24"/>
          <w:u w:val="single"/>
          <w:lang w:val="en-GB"/>
        </w:rPr>
        <w:t xml:space="preserve">if </w:t>
      </w:r>
      <w:r>
        <w:rPr>
          <w:rFonts w:ascii="Cambria" w:hAnsi="Cambria" w:cs="Arial"/>
          <w:b/>
          <w:color w:val="000000"/>
          <w:sz w:val="24"/>
          <w:szCs w:val="24"/>
          <w:u w:val="single"/>
          <w:lang w:val="en-GB"/>
        </w:rPr>
        <w:t xml:space="preserve">Railway would avail </w:t>
      </w:r>
      <w:r w:rsidRPr="009A4719">
        <w:rPr>
          <w:rFonts w:ascii="Cambria" w:hAnsi="Cambria" w:cs="Arial"/>
          <w:b/>
          <w:color w:val="000000"/>
          <w:sz w:val="24"/>
          <w:szCs w:val="24"/>
          <w:u w:val="single"/>
          <w:lang w:val="en-GB"/>
        </w:rPr>
        <w:t xml:space="preserve">power </w:t>
      </w:r>
      <w:r>
        <w:rPr>
          <w:rFonts w:ascii="Cambria" w:hAnsi="Cambria" w:cs="Arial"/>
          <w:b/>
          <w:color w:val="000000"/>
          <w:sz w:val="24"/>
          <w:szCs w:val="24"/>
          <w:u w:val="single"/>
          <w:lang w:val="en-GB"/>
        </w:rPr>
        <w:t>supply from other source</w:t>
      </w:r>
    </w:p>
    <w:p w:rsidR="00173CB6" w:rsidRDefault="00173CB6" w:rsidP="00173CB6">
      <w:pPr>
        <w:pStyle w:val="BodyText2"/>
        <w:spacing w:line="360" w:lineRule="auto"/>
        <w:jc w:val="both"/>
        <w:rPr>
          <w:rFonts w:ascii="Cambria" w:hAnsi="Cambria" w:cs="Arial"/>
          <w:color w:val="000000"/>
          <w:sz w:val="24"/>
          <w:szCs w:val="24"/>
          <w:lang w:val="en-GB"/>
        </w:rPr>
      </w:pPr>
      <w:r>
        <w:rPr>
          <w:rFonts w:ascii="Cambria" w:hAnsi="Cambria" w:cs="Arial"/>
          <w:color w:val="000000"/>
          <w:sz w:val="24"/>
          <w:szCs w:val="24"/>
          <w:lang w:val="en-GB"/>
        </w:rPr>
        <w:t>Presently the Utilty is having 8 Nos of traction load with Contract Demand of 142000 KVA. Considering 1</w:t>
      </w:r>
      <w:r w:rsidRPr="00D970CB">
        <w:rPr>
          <w:rFonts w:ascii="Cambria" w:hAnsi="Cambria" w:cs="Arial"/>
          <w:color w:val="000000"/>
          <w:sz w:val="24"/>
          <w:szCs w:val="24"/>
          <w:vertAlign w:val="superscript"/>
          <w:lang w:val="en-GB"/>
        </w:rPr>
        <w:t>st</w:t>
      </w:r>
      <w:r>
        <w:rPr>
          <w:rFonts w:ascii="Cambria" w:hAnsi="Cambria" w:cs="Arial"/>
          <w:color w:val="000000"/>
          <w:sz w:val="24"/>
          <w:szCs w:val="24"/>
          <w:lang w:val="en-GB"/>
        </w:rPr>
        <w:t xml:space="preserve"> Six months consumption of 204.843 MU the current year’s consumption has been estimated as 418.047 MU. Similarly the Utility has projected 413.323 MU towards traction consumption for the ensuing year.</w:t>
      </w:r>
    </w:p>
    <w:p w:rsidR="00173CB6" w:rsidRDefault="00173CB6" w:rsidP="00173CB6">
      <w:pPr>
        <w:pStyle w:val="Caption"/>
        <w:keepNext/>
        <w:spacing w:line="360" w:lineRule="auto"/>
        <w:rPr>
          <w:rFonts w:ascii="Cambria" w:hAnsi="Cambria" w:cs="Arial"/>
          <w:color w:val="000000"/>
          <w:sz w:val="24"/>
          <w:szCs w:val="24"/>
        </w:rPr>
      </w:pPr>
      <w:r>
        <w:rPr>
          <w:rFonts w:ascii="Cambria" w:hAnsi="Cambria" w:cs="Arial"/>
          <w:color w:val="000000"/>
          <w:sz w:val="24"/>
          <w:szCs w:val="24"/>
        </w:rPr>
        <w:t xml:space="preserve"> If railway would be completely availing power supply from other source other than the Distribution Company then the revenue gap would </w:t>
      </w:r>
      <w:r w:rsidRPr="00FC0224">
        <w:rPr>
          <w:rFonts w:ascii="Cambria" w:hAnsi="Cambria" w:cs="Arial"/>
          <w:color w:val="000000"/>
          <w:sz w:val="24"/>
          <w:szCs w:val="24"/>
        </w:rPr>
        <w:t>be Rs 354.38 crore. Hence the GAP would increase by another Rs. 117.11 crs.</w:t>
      </w:r>
    </w:p>
    <w:p w:rsidR="00EF1998" w:rsidRDefault="00EF1998" w:rsidP="00173CB6">
      <w:pPr>
        <w:pStyle w:val="Caption"/>
        <w:keepNext/>
        <w:spacing w:line="360" w:lineRule="auto"/>
        <w:rPr>
          <w:rFonts w:ascii="Cambria" w:hAnsi="Cambria" w:cs="Arial"/>
          <w:b/>
          <w:color w:val="000000"/>
          <w:sz w:val="24"/>
          <w:szCs w:val="24"/>
        </w:rPr>
      </w:pPr>
      <w:r w:rsidRPr="00126345">
        <w:rPr>
          <w:rFonts w:ascii="Cambria" w:hAnsi="Cambria" w:cs="Arial"/>
          <w:b/>
          <w:color w:val="000000"/>
          <w:sz w:val="24"/>
          <w:szCs w:val="24"/>
        </w:rPr>
        <w:t>Table 1B : Revenue Gap without Railway</w:t>
      </w:r>
    </w:p>
    <w:p w:rsidR="00173CB6" w:rsidRDefault="00173CB6" w:rsidP="00173CB6">
      <w:pPr>
        <w:rPr>
          <w:lang w:val="en-GB"/>
        </w:rPr>
      </w:pPr>
    </w:p>
    <w:tbl>
      <w:tblPr>
        <w:tblW w:w="8926" w:type="dxa"/>
        <w:jc w:val="cente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ook w:val="00BF"/>
      </w:tblPr>
      <w:tblGrid>
        <w:gridCol w:w="6127"/>
        <w:gridCol w:w="2799"/>
      </w:tblGrid>
      <w:tr w:rsidR="00B80816" w:rsidRPr="00126345" w:rsidTr="00F42E0C">
        <w:trPr>
          <w:trHeight w:val="340"/>
          <w:jc w:val="center"/>
        </w:trPr>
        <w:tc>
          <w:tcPr>
            <w:tcW w:w="6127" w:type="dxa"/>
            <w:shd w:val="solid" w:color="000080" w:fill="FFFFFF"/>
          </w:tcPr>
          <w:p w:rsidR="00B80816" w:rsidRPr="00126345" w:rsidRDefault="00B80816" w:rsidP="00F42E0C">
            <w:pPr>
              <w:rPr>
                <w:rFonts w:ascii="Cambria" w:hAnsi="Cambria" w:cs="Arial"/>
                <w:b/>
                <w:bCs/>
                <w:color w:val="000000"/>
              </w:rPr>
            </w:pPr>
          </w:p>
        </w:tc>
        <w:tc>
          <w:tcPr>
            <w:tcW w:w="2799" w:type="dxa"/>
            <w:shd w:val="solid" w:color="000080" w:fill="FFFFFF"/>
          </w:tcPr>
          <w:p w:rsidR="00B80816" w:rsidRPr="00126345" w:rsidRDefault="00B80816" w:rsidP="00F42E0C">
            <w:pPr>
              <w:jc w:val="center"/>
              <w:rPr>
                <w:rFonts w:ascii="Cambria" w:hAnsi="Cambria" w:cs="Arial"/>
                <w:b/>
                <w:bCs/>
                <w:color w:val="000000"/>
              </w:rPr>
            </w:pPr>
            <w:r w:rsidRPr="00126345">
              <w:rPr>
                <w:rFonts w:ascii="Cambria" w:hAnsi="Cambria" w:cs="Arial"/>
                <w:b/>
                <w:color w:val="000000"/>
              </w:rPr>
              <w:t>Rs Crore</w:t>
            </w:r>
          </w:p>
        </w:tc>
      </w:tr>
      <w:tr w:rsidR="00B80816" w:rsidRPr="00FC0224" w:rsidTr="00F42E0C">
        <w:trPr>
          <w:trHeight w:val="340"/>
          <w:jc w:val="center"/>
        </w:trPr>
        <w:tc>
          <w:tcPr>
            <w:tcW w:w="6127" w:type="dxa"/>
            <w:vAlign w:val="center"/>
          </w:tcPr>
          <w:p w:rsidR="00B80816" w:rsidRPr="00126345" w:rsidRDefault="00B80816" w:rsidP="00F42E0C">
            <w:pPr>
              <w:keepNext/>
              <w:keepLines/>
              <w:autoSpaceDE w:val="0"/>
              <w:autoSpaceDN w:val="0"/>
              <w:adjustRightInd w:val="0"/>
              <w:outlineLvl w:val="0"/>
              <w:rPr>
                <w:rFonts w:ascii="Cambria" w:hAnsi="Cambria" w:cs="Arial"/>
                <w:color w:val="000000"/>
                <w:lang w:val="en-GB"/>
              </w:rPr>
            </w:pPr>
          </w:p>
          <w:p w:rsidR="00B80816" w:rsidRPr="00126345" w:rsidRDefault="00B80816" w:rsidP="00F42E0C">
            <w:pPr>
              <w:autoSpaceDE w:val="0"/>
              <w:autoSpaceDN w:val="0"/>
              <w:adjustRightInd w:val="0"/>
              <w:rPr>
                <w:rFonts w:ascii="Cambria" w:hAnsi="Cambria" w:cs="Arial"/>
                <w:color w:val="000000"/>
                <w:lang w:val="en-GB"/>
              </w:rPr>
            </w:pPr>
            <w:r w:rsidRPr="00126345">
              <w:rPr>
                <w:rFonts w:ascii="Cambria" w:hAnsi="Cambria" w:cs="Arial"/>
                <w:color w:val="000000"/>
                <w:lang w:val="en-GB"/>
              </w:rPr>
              <w:t xml:space="preserve">Expenditure including Special Appropriation </w:t>
            </w:r>
          </w:p>
          <w:p w:rsidR="00B80816" w:rsidRPr="00126345" w:rsidRDefault="00B80816" w:rsidP="00F42E0C">
            <w:pPr>
              <w:autoSpaceDE w:val="0"/>
              <w:autoSpaceDN w:val="0"/>
              <w:adjustRightInd w:val="0"/>
              <w:rPr>
                <w:rFonts w:ascii="Cambria" w:hAnsi="Cambria" w:cs="Arial"/>
                <w:color w:val="000000"/>
                <w:lang w:val="en-GB"/>
              </w:rPr>
            </w:pPr>
          </w:p>
        </w:tc>
        <w:tc>
          <w:tcPr>
            <w:tcW w:w="2799" w:type="dxa"/>
            <w:vAlign w:val="center"/>
          </w:tcPr>
          <w:p w:rsidR="00B80816" w:rsidRPr="00FC0224" w:rsidRDefault="00B80816" w:rsidP="00F42E0C">
            <w:pPr>
              <w:autoSpaceDE w:val="0"/>
              <w:autoSpaceDN w:val="0"/>
              <w:adjustRightInd w:val="0"/>
              <w:jc w:val="center"/>
              <w:rPr>
                <w:rFonts w:ascii="Cambria" w:hAnsi="Cambria" w:cs="Arial"/>
                <w:color w:val="000000"/>
                <w:lang w:val="en-GB"/>
              </w:rPr>
            </w:pPr>
            <w:r w:rsidRPr="00FC0224">
              <w:rPr>
                <w:rFonts w:ascii="Cambria" w:hAnsi="Cambria" w:cs="Arial"/>
                <w:color w:val="000000"/>
                <w:lang w:val="en-GB"/>
              </w:rPr>
              <w:t>2795.25</w:t>
            </w:r>
          </w:p>
        </w:tc>
      </w:tr>
      <w:tr w:rsidR="00B80816" w:rsidRPr="00FC0224" w:rsidTr="00F42E0C">
        <w:trPr>
          <w:trHeight w:val="340"/>
          <w:jc w:val="center"/>
        </w:trPr>
        <w:tc>
          <w:tcPr>
            <w:tcW w:w="6127" w:type="dxa"/>
            <w:vAlign w:val="center"/>
          </w:tcPr>
          <w:p w:rsidR="00B80816" w:rsidRPr="00126345" w:rsidRDefault="00B80816" w:rsidP="00F42E0C">
            <w:pPr>
              <w:autoSpaceDE w:val="0"/>
              <w:autoSpaceDN w:val="0"/>
              <w:adjustRightInd w:val="0"/>
              <w:rPr>
                <w:rFonts w:ascii="Cambria" w:hAnsi="Cambria" w:cs="Arial"/>
                <w:color w:val="000000"/>
                <w:lang w:val="en-GB"/>
              </w:rPr>
            </w:pPr>
            <w:r w:rsidRPr="00126345">
              <w:rPr>
                <w:rFonts w:ascii="Cambria" w:hAnsi="Cambria" w:cs="Arial"/>
                <w:color w:val="000000"/>
                <w:lang w:val="en-GB"/>
              </w:rPr>
              <w:t xml:space="preserve">Reasonable return </w:t>
            </w:r>
          </w:p>
        </w:tc>
        <w:tc>
          <w:tcPr>
            <w:tcW w:w="2799" w:type="dxa"/>
            <w:vAlign w:val="center"/>
          </w:tcPr>
          <w:p w:rsidR="00B80816" w:rsidRPr="00FC0224" w:rsidRDefault="00B80816" w:rsidP="00F42E0C">
            <w:pPr>
              <w:autoSpaceDE w:val="0"/>
              <w:autoSpaceDN w:val="0"/>
              <w:adjustRightInd w:val="0"/>
              <w:jc w:val="center"/>
              <w:rPr>
                <w:rFonts w:ascii="Cambria" w:hAnsi="Cambria" w:cs="Arial"/>
                <w:color w:val="000000"/>
                <w:lang w:val="en-GB"/>
              </w:rPr>
            </w:pPr>
            <w:r w:rsidRPr="00FC0224">
              <w:rPr>
                <w:rFonts w:ascii="Cambria" w:hAnsi="Cambria" w:cs="Arial"/>
                <w:color w:val="000000"/>
                <w:lang w:val="en-GB"/>
              </w:rPr>
              <w:t>10.55</w:t>
            </w:r>
          </w:p>
        </w:tc>
      </w:tr>
      <w:tr w:rsidR="00B80816" w:rsidRPr="00FC0224" w:rsidTr="00F42E0C">
        <w:trPr>
          <w:trHeight w:val="340"/>
          <w:jc w:val="center"/>
        </w:trPr>
        <w:tc>
          <w:tcPr>
            <w:tcW w:w="6127" w:type="dxa"/>
            <w:vAlign w:val="center"/>
          </w:tcPr>
          <w:p w:rsidR="00B80816" w:rsidRPr="00126345" w:rsidRDefault="00B80816" w:rsidP="00F42E0C">
            <w:pPr>
              <w:autoSpaceDE w:val="0"/>
              <w:autoSpaceDN w:val="0"/>
              <w:adjustRightInd w:val="0"/>
              <w:rPr>
                <w:rFonts w:ascii="Cambria" w:hAnsi="Cambria" w:cs="Arial"/>
                <w:color w:val="000000"/>
                <w:lang w:val="en-GB"/>
              </w:rPr>
            </w:pPr>
            <w:r w:rsidRPr="00126345">
              <w:rPr>
                <w:rFonts w:ascii="Cambria" w:hAnsi="Cambria" w:cs="Arial"/>
                <w:color w:val="000000"/>
                <w:lang w:val="en-GB"/>
              </w:rPr>
              <w:t>Sub Total</w:t>
            </w:r>
          </w:p>
        </w:tc>
        <w:tc>
          <w:tcPr>
            <w:tcW w:w="2799" w:type="dxa"/>
            <w:vAlign w:val="center"/>
          </w:tcPr>
          <w:p w:rsidR="00B80816" w:rsidRPr="00FC0224" w:rsidRDefault="00B80816" w:rsidP="00F42E0C">
            <w:pPr>
              <w:autoSpaceDE w:val="0"/>
              <w:autoSpaceDN w:val="0"/>
              <w:adjustRightInd w:val="0"/>
              <w:jc w:val="center"/>
              <w:rPr>
                <w:rFonts w:ascii="Cambria" w:hAnsi="Cambria" w:cs="Arial"/>
                <w:b/>
                <w:color w:val="000000"/>
                <w:lang w:val="en-GB"/>
              </w:rPr>
            </w:pPr>
            <w:r w:rsidRPr="00FC0224">
              <w:rPr>
                <w:rFonts w:ascii="Cambria" w:hAnsi="Cambria" w:cs="Arial"/>
                <w:b/>
                <w:color w:val="000000"/>
                <w:lang w:val="en-GB"/>
              </w:rPr>
              <w:t>2805.80</w:t>
            </w:r>
          </w:p>
        </w:tc>
      </w:tr>
      <w:tr w:rsidR="00B80816" w:rsidRPr="00FC0224" w:rsidTr="00F42E0C">
        <w:trPr>
          <w:trHeight w:val="340"/>
          <w:jc w:val="center"/>
        </w:trPr>
        <w:tc>
          <w:tcPr>
            <w:tcW w:w="6127" w:type="dxa"/>
            <w:vAlign w:val="center"/>
          </w:tcPr>
          <w:p w:rsidR="00B80816" w:rsidRPr="00126345" w:rsidRDefault="00B80816" w:rsidP="00F42E0C">
            <w:pPr>
              <w:autoSpaceDE w:val="0"/>
              <w:autoSpaceDN w:val="0"/>
              <w:adjustRightInd w:val="0"/>
              <w:rPr>
                <w:rFonts w:ascii="Cambria" w:hAnsi="Cambria" w:cs="Arial"/>
                <w:color w:val="000000"/>
                <w:lang w:val="en-GB"/>
              </w:rPr>
            </w:pPr>
            <w:r w:rsidRPr="00126345">
              <w:rPr>
                <w:rFonts w:ascii="Cambria" w:hAnsi="Cambria" w:cs="Arial"/>
                <w:color w:val="000000"/>
                <w:lang w:val="en-GB"/>
              </w:rPr>
              <w:t xml:space="preserve">Revenue from sale of power at existing tariffs </w:t>
            </w:r>
          </w:p>
        </w:tc>
        <w:tc>
          <w:tcPr>
            <w:tcW w:w="2799" w:type="dxa"/>
            <w:vAlign w:val="center"/>
          </w:tcPr>
          <w:p w:rsidR="00B80816" w:rsidRPr="00FC0224" w:rsidRDefault="00B80816" w:rsidP="00F42E0C">
            <w:pPr>
              <w:autoSpaceDE w:val="0"/>
              <w:autoSpaceDN w:val="0"/>
              <w:adjustRightInd w:val="0"/>
              <w:jc w:val="center"/>
              <w:rPr>
                <w:rFonts w:ascii="Cambria" w:hAnsi="Cambria" w:cs="Arial"/>
                <w:color w:val="000000"/>
                <w:lang w:val="en-GB"/>
              </w:rPr>
            </w:pPr>
            <w:r w:rsidRPr="00FC0224">
              <w:rPr>
                <w:rFonts w:ascii="Cambria" w:hAnsi="Cambria" w:cs="Arial"/>
                <w:color w:val="000000"/>
                <w:lang w:val="en-GB"/>
              </w:rPr>
              <w:t>2372.57</w:t>
            </w:r>
          </w:p>
        </w:tc>
      </w:tr>
      <w:tr w:rsidR="00B80816" w:rsidRPr="00FC0224" w:rsidTr="00F42E0C">
        <w:trPr>
          <w:trHeight w:val="340"/>
          <w:jc w:val="center"/>
        </w:trPr>
        <w:tc>
          <w:tcPr>
            <w:tcW w:w="6127" w:type="dxa"/>
            <w:vAlign w:val="center"/>
          </w:tcPr>
          <w:p w:rsidR="00B80816" w:rsidRPr="00126345" w:rsidRDefault="00B80816" w:rsidP="00F42E0C">
            <w:pPr>
              <w:autoSpaceDE w:val="0"/>
              <w:autoSpaceDN w:val="0"/>
              <w:adjustRightInd w:val="0"/>
              <w:rPr>
                <w:rFonts w:ascii="Cambria" w:hAnsi="Cambria" w:cs="Arial"/>
                <w:color w:val="000000"/>
                <w:lang w:val="en-GB"/>
              </w:rPr>
            </w:pPr>
            <w:r w:rsidRPr="00126345">
              <w:rPr>
                <w:rFonts w:ascii="Cambria" w:hAnsi="Cambria" w:cs="Arial"/>
                <w:color w:val="000000"/>
                <w:lang w:val="en-GB"/>
              </w:rPr>
              <w:t>Non Tariff Income</w:t>
            </w:r>
          </w:p>
        </w:tc>
        <w:tc>
          <w:tcPr>
            <w:tcW w:w="2799" w:type="dxa"/>
            <w:vAlign w:val="center"/>
          </w:tcPr>
          <w:p w:rsidR="00B80816" w:rsidRPr="00FC0224" w:rsidRDefault="00B80816" w:rsidP="00F42E0C">
            <w:pPr>
              <w:autoSpaceDE w:val="0"/>
              <w:autoSpaceDN w:val="0"/>
              <w:adjustRightInd w:val="0"/>
              <w:jc w:val="center"/>
              <w:rPr>
                <w:rFonts w:ascii="Cambria" w:hAnsi="Cambria" w:cs="Arial"/>
                <w:color w:val="000000"/>
                <w:lang w:val="en-GB"/>
              </w:rPr>
            </w:pPr>
            <w:r w:rsidRPr="00FC0224">
              <w:rPr>
                <w:rFonts w:ascii="Cambria" w:hAnsi="Cambria" w:cs="Arial"/>
                <w:color w:val="000000"/>
                <w:lang w:val="en-GB"/>
              </w:rPr>
              <w:t>78.85</w:t>
            </w:r>
          </w:p>
        </w:tc>
      </w:tr>
      <w:tr w:rsidR="00B80816" w:rsidRPr="00FC0224" w:rsidTr="00F42E0C">
        <w:trPr>
          <w:trHeight w:val="340"/>
          <w:jc w:val="center"/>
        </w:trPr>
        <w:tc>
          <w:tcPr>
            <w:tcW w:w="6127" w:type="dxa"/>
            <w:vAlign w:val="center"/>
          </w:tcPr>
          <w:p w:rsidR="00B80816" w:rsidRPr="00126345" w:rsidRDefault="00B80816" w:rsidP="00F42E0C">
            <w:pPr>
              <w:autoSpaceDE w:val="0"/>
              <w:autoSpaceDN w:val="0"/>
              <w:adjustRightInd w:val="0"/>
              <w:rPr>
                <w:rFonts w:ascii="Cambria" w:hAnsi="Cambria" w:cs="Arial"/>
                <w:color w:val="000000"/>
                <w:lang w:val="en-GB"/>
              </w:rPr>
            </w:pPr>
            <w:r w:rsidRPr="00126345">
              <w:rPr>
                <w:rFonts w:ascii="Cambria" w:hAnsi="Cambria" w:cs="Arial"/>
                <w:color w:val="000000"/>
                <w:lang w:val="en-GB"/>
              </w:rPr>
              <w:t>TOTAL REVENUE GAP</w:t>
            </w:r>
          </w:p>
        </w:tc>
        <w:tc>
          <w:tcPr>
            <w:tcW w:w="2799" w:type="dxa"/>
            <w:vAlign w:val="center"/>
          </w:tcPr>
          <w:p w:rsidR="00B80816" w:rsidRPr="00FC0224" w:rsidRDefault="00B80816" w:rsidP="00F42E0C">
            <w:pPr>
              <w:autoSpaceDE w:val="0"/>
              <w:autoSpaceDN w:val="0"/>
              <w:adjustRightInd w:val="0"/>
              <w:jc w:val="center"/>
              <w:rPr>
                <w:rFonts w:ascii="Cambria" w:hAnsi="Cambria" w:cs="Arial"/>
                <w:b/>
                <w:color w:val="000000"/>
                <w:lang w:val="en-GB"/>
              </w:rPr>
            </w:pPr>
            <w:r w:rsidRPr="00FC0224">
              <w:rPr>
                <w:rFonts w:ascii="Cambria" w:hAnsi="Cambria" w:cs="Arial"/>
                <w:b/>
                <w:color w:val="000000"/>
                <w:lang w:val="en-GB"/>
              </w:rPr>
              <w:t>354.38</w:t>
            </w:r>
          </w:p>
        </w:tc>
      </w:tr>
    </w:tbl>
    <w:p w:rsidR="00173CB6" w:rsidRDefault="00173CB6" w:rsidP="00173CB6">
      <w:pPr>
        <w:rPr>
          <w:lang w:val="en-GB"/>
        </w:rPr>
      </w:pPr>
    </w:p>
    <w:p w:rsidR="00EF1998" w:rsidRPr="000B7D3A" w:rsidRDefault="00EF1998" w:rsidP="00EF1998">
      <w:pPr>
        <w:autoSpaceDE w:val="0"/>
        <w:autoSpaceDN w:val="0"/>
        <w:adjustRightInd w:val="0"/>
        <w:spacing w:after="240" w:line="360" w:lineRule="auto"/>
        <w:ind w:left="450"/>
        <w:jc w:val="both"/>
        <w:rPr>
          <w:rFonts w:ascii="Cambria" w:hAnsi="Cambria" w:cs="Arial"/>
          <w:color w:val="000000"/>
          <w:lang w:val="en-GB"/>
        </w:rPr>
      </w:pPr>
      <w:r w:rsidRPr="00126345">
        <w:rPr>
          <w:rFonts w:ascii="Cambria" w:hAnsi="Cambria" w:cs="Arial"/>
          <w:color w:val="000000"/>
          <w:lang w:val="en-GB"/>
        </w:rPr>
        <w:t xml:space="preserve">Therefore </w:t>
      </w:r>
      <w:r w:rsidR="00B80816">
        <w:rPr>
          <w:rFonts w:ascii="Cambria" w:hAnsi="Cambria" w:cs="Arial"/>
          <w:color w:val="000000"/>
          <w:lang w:val="en-GB"/>
        </w:rPr>
        <w:t>the revenue gap for the year 2020-21</w:t>
      </w:r>
      <w:r w:rsidRPr="00126345">
        <w:rPr>
          <w:rFonts w:ascii="Cambria" w:hAnsi="Cambria" w:cs="Arial"/>
          <w:color w:val="000000"/>
          <w:lang w:val="en-GB"/>
        </w:rPr>
        <w:t>, with BSP rate at FY 201</w:t>
      </w:r>
      <w:r>
        <w:rPr>
          <w:rFonts w:ascii="Cambria" w:hAnsi="Cambria" w:cs="Arial"/>
          <w:color w:val="000000"/>
          <w:lang w:val="en-GB"/>
        </w:rPr>
        <w:t>9</w:t>
      </w:r>
      <w:r w:rsidR="00B80816">
        <w:rPr>
          <w:rFonts w:ascii="Cambria" w:hAnsi="Cambria" w:cs="Arial"/>
          <w:color w:val="000000"/>
          <w:lang w:val="en-GB"/>
        </w:rPr>
        <w:t>-20</w:t>
      </w:r>
      <w:r w:rsidRPr="00126345">
        <w:rPr>
          <w:rFonts w:ascii="Cambria" w:hAnsi="Cambria" w:cs="Arial"/>
          <w:color w:val="000000"/>
          <w:lang w:val="en-GB"/>
        </w:rPr>
        <w:t xml:space="preserve"> </w:t>
      </w:r>
      <w:r w:rsidRPr="00EF1998">
        <w:rPr>
          <w:rFonts w:ascii="Cambria" w:hAnsi="Cambria" w:cs="Arial"/>
          <w:color w:val="000000"/>
          <w:lang w:val="en-GB"/>
        </w:rPr>
        <w:t>without railway</w:t>
      </w:r>
      <w:r w:rsidRPr="00126345">
        <w:rPr>
          <w:rFonts w:ascii="Cambria" w:hAnsi="Cambria" w:cs="Arial"/>
          <w:color w:val="000000"/>
          <w:lang w:val="en-GB"/>
        </w:rPr>
        <w:t xml:space="preserve"> would be Rs.</w:t>
      </w:r>
      <w:r w:rsidR="00B80816">
        <w:rPr>
          <w:rFonts w:ascii="Cambria" w:hAnsi="Cambria" w:cs="Arial"/>
          <w:color w:val="000000"/>
          <w:lang w:val="en-GB"/>
        </w:rPr>
        <w:t>354.38</w:t>
      </w:r>
      <w:r w:rsidRPr="00126345">
        <w:rPr>
          <w:rFonts w:ascii="Cambria" w:hAnsi="Cambria" w:cs="Arial"/>
          <w:color w:val="000000"/>
          <w:lang w:val="en-GB"/>
        </w:rPr>
        <w:t xml:space="preserve"> crores.</w:t>
      </w:r>
    </w:p>
    <w:p w:rsidR="00FD1A94" w:rsidRDefault="00FD1A94" w:rsidP="00FD1A94">
      <w:pPr>
        <w:autoSpaceDE w:val="0"/>
        <w:autoSpaceDN w:val="0"/>
        <w:adjustRightInd w:val="0"/>
        <w:spacing w:after="240" w:line="360" w:lineRule="auto"/>
        <w:ind w:left="450"/>
        <w:jc w:val="both"/>
        <w:rPr>
          <w:rFonts w:ascii="Cambria" w:hAnsi="Cambria" w:cs="Arial"/>
          <w:color w:val="000000"/>
          <w:lang w:val="en-GB"/>
        </w:rPr>
      </w:pPr>
      <w:r>
        <w:rPr>
          <w:rFonts w:ascii="Cambria" w:hAnsi="Cambria" w:cs="Arial"/>
          <w:color w:val="000000"/>
          <w:lang w:val="en-GB"/>
        </w:rPr>
        <w:t xml:space="preserve">That, in the above background it is </w:t>
      </w:r>
      <w:r w:rsidRPr="000B7D3A">
        <w:rPr>
          <w:rFonts w:ascii="Cambria" w:hAnsi="Cambria" w:cs="Arial"/>
          <w:color w:val="000000"/>
          <w:lang w:val="en-GB"/>
        </w:rPr>
        <w:t xml:space="preserve">worth mentioning </w:t>
      </w:r>
      <w:r>
        <w:rPr>
          <w:rFonts w:ascii="Cambria" w:hAnsi="Cambria" w:cs="Arial"/>
          <w:color w:val="000000"/>
          <w:lang w:val="en-GB"/>
        </w:rPr>
        <w:t>that a</w:t>
      </w:r>
      <w:r w:rsidRPr="000B7D3A">
        <w:rPr>
          <w:rFonts w:ascii="Cambria" w:hAnsi="Cambria" w:cs="Arial"/>
          <w:color w:val="000000"/>
          <w:lang w:val="en-GB"/>
        </w:rPr>
        <w:t>s of now, at existing tariffs,</w:t>
      </w:r>
      <w:r>
        <w:rPr>
          <w:rFonts w:ascii="Cambria" w:hAnsi="Cambria" w:cs="Arial"/>
          <w:color w:val="000000"/>
          <w:lang w:val="en-GB"/>
        </w:rPr>
        <w:t xml:space="preserve"> the Utility</w:t>
      </w:r>
      <w:r w:rsidRPr="000B7D3A">
        <w:rPr>
          <w:rFonts w:ascii="Cambria" w:hAnsi="Cambria" w:cs="Arial"/>
          <w:color w:val="000000"/>
          <w:lang w:val="en-GB"/>
        </w:rPr>
        <w:t xml:space="preserve"> is unable to meet its current costs,   and unless there is</w:t>
      </w:r>
      <w:r w:rsidR="00B80816">
        <w:rPr>
          <w:rFonts w:ascii="Cambria" w:hAnsi="Cambria" w:cs="Arial"/>
          <w:color w:val="000000"/>
          <w:lang w:val="en-GB"/>
        </w:rPr>
        <w:t xml:space="preserve"> decrease in input costs in FY 20-21</w:t>
      </w:r>
      <w:r w:rsidRPr="000B7D3A">
        <w:rPr>
          <w:rFonts w:ascii="Cambria" w:hAnsi="Cambria" w:cs="Arial"/>
          <w:color w:val="000000"/>
          <w:lang w:val="en-GB"/>
        </w:rPr>
        <w:t xml:space="preserve"> or any grant/ subsidy is provided, </w:t>
      </w:r>
      <w:r>
        <w:rPr>
          <w:rFonts w:ascii="Cambria" w:hAnsi="Cambria" w:cs="Arial"/>
          <w:color w:val="000000"/>
          <w:lang w:val="en-GB"/>
        </w:rPr>
        <w:t xml:space="preserve">it is very difficult in the part of </w:t>
      </w:r>
      <w:r w:rsidRPr="000B7D3A">
        <w:rPr>
          <w:rFonts w:ascii="Cambria" w:hAnsi="Cambria" w:cs="Arial"/>
          <w:color w:val="000000"/>
          <w:lang w:val="en-GB"/>
        </w:rPr>
        <w:t xml:space="preserve">the </w:t>
      </w:r>
      <w:r>
        <w:rPr>
          <w:rFonts w:ascii="Cambria" w:hAnsi="Cambria" w:cs="Arial"/>
          <w:color w:val="000000"/>
          <w:lang w:val="en-GB"/>
        </w:rPr>
        <w:t>Utility</w:t>
      </w:r>
      <w:r w:rsidRPr="000B7D3A">
        <w:rPr>
          <w:rFonts w:ascii="Cambria" w:hAnsi="Cambria" w:cs="Arial"/>
          <w:color w:val="000000"/>
          <w:lang w:val="en-GB"/>
        </w:rPr>
        <w:t xml:space="preserve"> </w:t>
      </w:r>
      <w:r>
        <w:rPr>
          <w:rFonts w:ascii="Cambria" w:hAnsi="Cambria" w:cs="Arial"/>
          <w:color w:val="000000"/>
          <w:lang w:val="en-GB"/>
        </w:rPr>
        <w:t>to accomplish</w:t>
      </w:r>
      <w:r w:rsidRPr="000B7D3A">
        <w:rPr>
          <w:rFonts w:ascii="Cambria" w:hAnsi="Cambria" w:cs="Arial"/>
          <w:color w:val="000000"/>
          <w:lang w:val="en-GB"/>
        </w:rPr>
        <w:t xml:space="preserve"> its obligations as a distribution </w:t>
      </w:r>
      <w:r>
        <w:rPr>
          <w:rFonts w:ascii="Cambria" w:hAnsi="Cambria" w:cs="Arial"/>
          <w:color w:val="000000"/>
          <w:lang w:val="en-GB"/>
        </w:rPr>
        <w:t>Utility</w:t>
      </w:r>
      <w:r w:rsidRPr="000B7D3A">
        <w:rPr>
          <w:rFonts w:ascii="Cambria" w:hAnsi="Cambria" w:cs="Arial"/>
          <w:color w:val="000000"/>
          <w:lang w:val="en-GB"/>
        </w:rPr>
        <w:t>. Accordingly</w:t>
      </w:r>
      <w:r>
        <w:rPr>
          <w:rFonts w:ascii="Cambria" w:hAnsi="Cambria" w:cs="Arial"/>
          <w:color w:val="000000"/>
          <w:lang w:val="en-GB"/>
        </w:rPr>
        <w:t>,</w:t>
      </w:r>
      <w:r w:rsidRPr="000B7D3A">
        <w:rPr>
          <w:rFonts w:ascii="Cambria" w:hAnsi="Cambria" w:cs="Arial"/>
          <w:color w:val="000000"/>
          <w:lang w:val="en-GB"/>
        </w:rPr>
        <w:t xml:space="preserve"> the </w:t>
      </w:r>
      <w:r>
        <w:rPr>
          <w:rFonts w:ascii="Cambria" w:hAnsi="Cambria" w:cs="Arial"/>
          <w:color w:val="000000"/>
          <w:lang w:val="en-GB"/>
        </w:rPr>
        <w:t>utility</w:t>
      </w:r>
      <w:r w:rsidRPr="000B7D3A">
        <w:rPr>
          <w:rFonts w:ascii="Cambria" w:hAnsi="Cambria" w:cs="Arial"/>
          <w:color w:val="000000"/>
          <w:lang w:val="en-GB"/>
        </w:rPr>
        <w:t xml:space="preserve"> prays that such exigencies be considered while processing this Petition</w:t>
      </w:r>
      <w:r>
        <w:rPr>
          <w:rFonts w:ascii="Cambria" w:hAnsi="Cambria" w:cs="Arial"/>
          <w:color w:val="000000"/>
          <w:lang w:val="en-GB"/>
        </w:rPr>
        <w:t>.</w:t>
      </w:r>
    </w:p>
    <w:p w:rsidR="00002460" w:rsidRPr="004507FC" w:rsidRDefault="00444C43" w:rsidP="006935E2">
      <w:pPr>
        <w:pStyle w:val="Heading1"/>
        <w:numPr>
          <w:ilvl w:val="0"/>
          <w:numId w:val="9"/>
        </w:numPr>
        <w:spacing w:line="360" w:lineRule="auto"/>
        <w:jc w:val="both"/>
        <w:rPr>
          <w:rFonts w:ascii="Calibri" w:hAnsi="Calibri" w:cs="Calibri"/>
          <w:bCs w:val="0"/>
          <w:sz w:val="24"/>
          <w:szCs w:val="24"/>
        </w:rPr>
      </w:pPr>
      <w:bookmarkStart w:id="60" w:name="_Toc278737550"/>
      <w:bookmarkStart w:id="61" w:name="_Toc278737554"/>
      <w:bookmarkStart w:id="62" w:name="_Toc278737556"/>
      <w:bookmarkStart w:id="63" w:name="_Toc278737557"/>
      <w:bookmarkStart w:id="64" w:name="_Toc278737558"/>
      <w:bookmarkStart w:id="65" w:name="_Toc278737559"/>
      <w:bookmarkStart w:id="66" w:name="_Toc278737560"/>
      <w:bookmarkStart w:id="67" w:name="_GoBack"/>
      <w:bookmarkStart w:id="68" w:name="_Toc25850954"/>
      <w:bookmarkEnd w:id="60"/>
      <w:bookmarkEnd w:id="61"/>
      <w:bookmarkEnd w:id="62"/>
      <w:bookmarkEnd w:id="63"/>
      <w:bookmarkEnd w:id="64"/>
      <w:bookmarkEnd w:id="65"/>
      <w:bookmarkEnd w:id="66"/>
      <w:bookmarkEnd w:id="67"/>
      <w:r w:rsidRPr="004507FC">
        <w:rPr>
          <w:rFonts w:ascii="Cambria" w:hAnsi="Cambria" w:cs="Calibri"/>
          <w:bCs w:val="0"/>
          <w:sz w:val="24"/>
          <w:szCs w:val="24"/>
        </w:rPr>
        <w:t>Initiatives</w:t>
      </w:r>
      <w:r w:rsidRPr="004507FC">
        <w:rPr>
          <w:rFonts w:ascii="Calibri" w:hAnsi="Calibri" w:cs="Calibri"/>
          <w:bCs w:val="0"/>
          <w:sz w:val="24"/>
          <w:szCs w:val="24"/>
        </w:rPr>
        <w:t xml:space="preserve"> </w:t>
      </w:r>
      <w:r w:rsidRPr="004507FC">
        <w:rPr>
          <w:rFonts w:ascii="Cambria" w:hAnsi="Cambria" w:cs="Calibri"/>
          <w:bCs w:val="0"/>
          <w:sz w:val="24"/>
          <w:szCs w:val="24"/>
        </w:rPr>
        <w:t xml:space="preserve">by </w:t>
      </w:r>
      <w:r w:rsidR="00045C4A" w:rsidRPr="004507FC">
        <w:rPr>
          <w:rFonts w:ascii="Cambria" w:hAnsi="Cambria" w:cs="Calibri"/>
          <w:bCs w:val="0"/>
          <w:sz w:val="24"/>
          <w:szCs w:val="24"/>
        </w:rPr>
        <w:t>Utility &amp; Other performance improvement measures</w:t>
      </w:r>
      <w:bookmarkEnd w:id="68"/>
      <w:r w:rsidR="00045C4A" w:rsidRPr="004507FC">
        <w:rPr>
          <w:rFonts w:ascii="Cambria" w:hAnsi="Cambria" w:cs="Calibri"/>
          <w:bCs w:val="0"/>
          <w:sz w:val="24"/>
          <w:szCs w:val="24"/>
        </w:rPr>
        <w:t xml:space="preserve"> </w:t>
      </w:r>
    </w:p>
    <w:p w:rsidR="00753C8E" w:rsidRPr="004507FC" w:rsidRDefault="00753C8E" w:rsidP="006935E2">
      <w:pPr>
        <w:pStyle w:val="Heading1"/>
        <w:numPr>
          <w:ilvl w:val="1"/>
          <w:numId w:val="10"/>
        </w:numPr>
        <w:spacing w:line="360" w:lineRule="auto"/>
        <w:jc w:val="both"/>
        <w:rPr>
          <w:rFonts w:ascii="Cambria" w:hAnsi="Cambria"/>
          <w:sz w:val="24"/>
          <w:szCs w:val="24"/>
        </w:rPr>
      </w:pPr>
      <w:bookmarkStart w:id="69" w:name="_Toc25850955"/>
      <w:r w:rsidRPr="004507FC">
        <w:rPr>
          <w:rFonts w:ascii="Cambria" w:hAnsi="Cambria"/>
          <w:sz w:val="24"/>
          <w:szCs w:val="24"/>
        </w:rPr>
        <w:t>Compliance to OERC Directions</w:t>
      </w:r>
      <w:bookmarkEnd w:id="69"/>
    </w:p>
    <w:p w:rsidR="004507FC" w:rsidRPr="004507FC" w:rsidRDefault="004507FC" w:rsidP="004507FC">
      <w:pPr>
        <w:autoSpaceDE w:val="0"/>
        <w:autoSpaceDN w:val="0"/>
        <w:adjustRightInd w:val="0"/>
        <w:spacing w:after="240" w:line="360" w:lineRule="auto"/>
        <w:ind w:left="450"/>
        <w:jc w:val="both"/>
        <w:rPr>
          <w:rFonts w:ascii="Cambria" w:hAnsi="Cambria" w:cs="Arial"/>
          <w:color w:val="000000"/>
          <w:lang w:val="en-GB"/>
        </w:rPr>
      </w:pPr>
      <w:r w:rsidRPr="004507FC">
        <w:rPr>
          <w:rFonts w:ascii="Cambria" w:hAnsi="Cambria" w:cs="Arial"/>
          <w:color w:val="000000"/>
          <w:lang w:val="en-GB"/>
        </w:rPr>
        <w:t>Hon’ble Commission has given certain direction in the RST order dt.29.03.2019 and compliance to same are furnished here</w:t>
      </w:r>
      <w:r w:rsidR="00533AE8">
        <w:rPr>
          <w:rFonts w:ascii="Cambria" w:hAnsi="Cambria" w:cs="Arial"/>
          <w:color w:val="000000"/>
          <w:lang w:val="en-GB"/>
        </w:rPr>
        <w:t xml:space="preserve"> under</w:t>
      </w:r>
      <w:r w:rsidRPr="004507FC">
        <w:rPr>
          <w:rFonts w:ascii="Cambria" w:hAnsi="Cambria" w:cs="Arial"/>
          <w:color w:val="000000"/>
          <w:lang w:val="en-GB"/>
        </w:rPr>
        <w:t>:</w:t>
      </w:r>
    </w:p>
    <w:p w:rsidR="004507FC" w:rsidRPr="004507FC" w:rsidRDefault="004507FC" w:rsidP="004507FC">
      <w:pPr>
        <w:autoSpaceDE w:val="0"/>
        <w:autoSpaceDN w:val="0"/>
        <w:adjustRightInd w:val="0"/>
        <w:spacing w:after="240" w:line="360" w:lineRule="auto"/>
        <w:ind w:left="450"/>
        <w:jc w:val="both"/>
        <w:rPr>
          <w:rFonts w:ascii="Cambria" w:hAnsi="Cambria" w:cs="Arial"/>
          <w:color w:val="000000"/>
          <w:lang w:val="en-GB"/>
        </w:rPr>
      </w:pPr>
      <w:r w:rsidRPr="004507FC">
        <w:rPr>
          <w:rFonts w:ascii="Cambria" w:hAnsi="Cambria" w:cs="Arial"/>
          <w:b/>
          <w:color w:val="000000"/>
          <w:lang w:val="en-GB"/>
        </w:rPr>
        <w:lastRenderedPageBreak/>
        <w:t>322:</w:t>
      </w:r>
      <w:r>
        <w:rPr>
          <w:rFonts w:ascii="Cambria" w:hAnsi="Cambria" w:cs="Arial"/>
          <w:color w:val="000000"/>
          <w:lang w:val="en-GB"/>
        </w:rPr>
        <w:tab/>
      </w:r>
      <w:r w:rsidRPr="004507FC">
        <w:rPr>
          <w:rFonts w:ascii="Cambria" w:hAnsi="Cambria" w:cs="Arial"/>
          <w:color w:val="000000"/>
          <w:lang w:val="en-GB"/>
        </w:rPr>
        <w:t>The commission has observed that huge arrear amounts of the retired employees have not been kept pending by some DISCOM Utilities for past years. This practice of keeping pending the arrears of retired employees should be strictly avoided. Moreover due to implementation of 7th pay commission recommendations the arrear liabilities to retired employees have accrued which needs to be paid. The commission has therefore allowed the full arrears due to retired employees in the present ARR as projected by the DISCOM Utilities. The commission hereby directs that DISCOM Utilities shall clear all the dues of the retired employees progressively during the ensuing year. The DISCOM Utilities shall report the progress of such payments to the retired employees during the performance reviews undertaken by the Commission.</w:t>
      </w:r>
    </w:p>
    <w:p w:rsidR="004507FC" w:rsidRPr="004507FC" w:rsidRDefault="004507FC" w:rsidP="004507FC">
      <w:pPr>
        <w:autoSpaceDE w:val="0"/>
        <w:autoSpaceDN w:val="0"/>
        <w:adjustRightInd w:val="0"/>
        <w:spacing w:after="240" w:line="360" w:lineRule="auto"/>
        <w:ind w:left="450"/>
        <w:jc w:val="both"/>
        <w:rPr>
          <w:rFonts w:ascii="Cambria" w:hAnsi="Cambria" w:cs="Arial"/>
          <w:b/>
          <w:i/>
          <w:color w:val="000000"/>
          <w:lang w:val="en-GB"/>
        </w:rPr>
      </w:pPr>
      <w:r w:rsidRPr="004507FC">
        <w:rPr>
          <w:rFonts w:ascii="Cambria" w:hAnsi="Cambria" w:cs="Arial"/>
          <w:b/>
          <w:i/>
          <w:color w:val="000000"/>
          <w:lang w:val="en-GB"/>
        </w:rPr>
        <w:t xml:space="preserve">Compliance </w:t>
      </w:r>
    </w:p>
    <w:p w:rsidR="004507FC" w:rsidRPr="004507FC" w:rsidRDefault="004507FC" w:rsidP="004507FC">
      <w:pPr>
        <w:autoSpaceDE w:val="0"/>
        <w:autoSpaceDN w:val="0"/>
        <w:adjustRightInd w:val="0"/>
        <w:spacing w:after="240" w:line="360" w:lineRule="auto"/>
        <w:ind w:left="450"/>
        <w:jc w:val="both"/>
        <w:rPr>
          <w:rFonts w:ascii="Cambria" w:hAnsi="Cambria" w:cs="Arial"/>
          <w:color w:val="000000"/>
          <w:lang w:val="en-GB"/>
        </w:rPr>
      </w:pPr>
      <w:r w:rsidRPr="004507FC">
        <w:rPr>
          <w:rFonts w:ascii="Cambria" w:hAnsi="Cambria" w:cs="Arial"/>
          <w:color w:val="000000"/>
          <w:lang w:val="en-GB"/>
        </w:rPr>
        <w:t>In compliance to the direction of Hon’ble Commission, the 7th pay arrear dues of the retired employees have already been paid.</w:t>
      </w:r>
    </w:p>
    <w:p w:rsidR="004507FC" w:rsidRPr="004507FC" w:rsidRDefault="004507FC" w:rsidP="004507FC">
      <w:pPr>
        <w:autoSpaceDE w:val="0"/>
        <w:autoSpaceDN w:val="0"/>
        <w:adjustRightInd w:val="0"/>
        <w:spacing w:after="240" w:line="360" w:lineRule="auto"/>
        <w:ind w:left="450"/>
        <w:jc w:val="both"/>
        <w:rPr>
          <w:rFonts w:ascii="Cambria" w:hAnsi="Cambria" w:cs="Arial"/>
          <w:color w:val="000000"/>
          <w:lang w:val="en-GB"/>
        </w:rPr>
      </w:pPr>
      <w:r w:rsidRPr="004507FC">
        <w:rPr>
          <w:rFonts w:ascii="Cambria" w:hAnsi="Cambria" w:cs="Arial"/>
          <w:b/>
          <w:color w:val="000000"/>
          <w:lang w:val="en-GB"/>
        </w:rPr>
        <w:t xml:space="preserve">337. </w:t>
      </w:r>
      <w:r w:rsidRPr="004507FC">
        <w:rPr>
          <w:rFonts w:ascii="Cambria" w:hAnsi="Cambria" w:cs="Arial"/>
          <w:color w:val="000000"/>
          <w:lang w:val="en-GB"/>
        </w:rPr>
        <w:t>The Commission in the performance review have directed DISCOM Utilities to carry out the Energy Audit in complete shape of at least 5 feeders. This exercise should be further escalated and replicated to other feeders. The Commission further directs that the DISCOM Utilities should complete pole scheduling, consumer indexing, distribution network mapping linking with indexed consumer and also ensure that reliable and correct meters are installed at all points of consumption for the purpose of Energy Audit to identify revenue leakage. Commission shall also review progress aggressively and pass suitable directions from time to time if orders are not complied.</w:t>
      </w:r>
    </w:p>
    <w:p w:rsidR="004507FC" w:rsidRPr="004507FC" w:rsidRDefault="004507FC" w:rsidP="004507FC">
      <w:pPr>
        <w:autoSpaceDE w:val="0"/>
        <w:autoSpaceDN w:val="0"/>
        <w:adjustRightInd w:val="0"/>
        <w:spacing w:after="240" w:line="360" w:lineRule="auto"/>
        <w:ind w:left="450"/>
        <w:jc w:val="both"/>
        <w:rPr>
          <w:rFonts w:ascii="Cambria" w:hAnsi="Cambria" w:cs="Arial"/>
          <w:b/>
          <w:i/>
          <w:color w:val="000000"/>
          <w:lang w:val="en-GB"/>
        </w:rPr>
      </w:pPr>
      <w:r w:rsidRPr="006B60C2">
        <w:rPr>
          <w:rFonts w:ascii="Cambria" w:hAnsi="Cambria" w:cs="Arial"/>
          <w:b/>
          <w:i/>
          <w:color w:val="000000"/>
          <w:lang w:val="en-GB"/>
        </w:rPr>
        <w:t>Compliance :</w:t>
      </w:r>
    </w:p>
    <w:p w:rsidR="006B60C2" w:rsidRPr="006B60C2" w:rsidRDefault="006B60C2" w:rsidP="006B60C2">
      <w:pPr>
        <w:autoSpaceDE w:val="0"/>
        <w:autoSpaceDN w:val="0"/>
        <w:adjustRightInd w:val="0"/>
        <w:spacing w:after="240" w:line="360" w:lineRule="auto"/>
        <w:ind w:left="450"/>
        <w:jc w:val="both"/>
        <w:rPr>
          <w:rFonts w:ascii="Cambria" w:hAnsi="Cambria" w:cs="Arial"/>
          <w:color w:val="000000"/>
          <w:lang w:val="en-GB"/>
        </w:rPr>
      </w:pPr>
      <w:r w:rsidRPr="006B60C2">
        <w:rPr>
          <w:rFonts w:ascii="Cambria" w:hAnsi="Cambria" w:cs="Arial"/>
          <w:color w:val="000000"/>
          <w:lang w:val="en-GB"/>
        </w:rPr>
        <w:t>In compliance to the direction of Hon’ble Commission, the Energy Audit has been carried out in 08 nos. of 11kv feeders in complete shape .Further</w:t>
      </w:r>
      <w:r>
        <w:rPr>
          <w:rFonts w:ascii="Cambria" w:hAnsi="Cambria" w:cs="Arial"/>
          <w:color w:val="000000"/>
          <w:lang w:val="en-GB"/>
        </w:rPr>
        <w:t>,</w:t>
      </w:r>
      <w:r w:rsidRPr="006B60C2">
        <w:rPr>
          <w:rFonts w:ascii="Cambria" w:hAnsi="Cambria" w:cs="Arial"/>
          <w:color w:val="000000"/>
          <w:lang w:val="en-GB"/>
        </w:rPr>
        <w:t xml:space="preserve"> another 06 nos. of 11KV feeders under Bhadrak town is in progress. </w:t>
      </w:r>
    </w:p>
    <w:p w:rsidR="006B60C2" w:rsidRPr="006B60C2" w:rsidRDefault="006B60C2" w:rsidP="006B60C2">
      <w:pPr>
        <w:autoSpaceDE w:val="0"/>
        <w:autoSpaceDN w:val="0"/>
        <w:adjustRightInd w:val="0"/>
        <w:spacing w:after="240" w:line="360" w:lineRule="auto"/>
        <w:ind w:left="450"/>
        <w:jc w:val="both"/>
        <w:rPr>
          <w:rFonts w:ascii="Cambria" w:hAnsi="Cambria" w:cs="Arial"/>
          <w:color w:val="000000"/>
          <w:lang w:val="en-GB"/>
        </w:rPr>
      </w:pPr>
      <w:r w:rsidRPr="006B60C2">
        <w:rPr>
          <w:rFonts w:ascii="Cambria" w:hAnsi="Cambria" w:cs="Arial"/>
          <w:color w:val="000000"/>
          <w:lang w:val="en-GB"/>
        </w:rPr>
        <w:t>Consume</w:t>
      </w:r>
      <w:r>
        <w:rPr>
          <w:rFonts w:ascii="Cambria" w:hAnsi="Cambria" w:cs="Arial"/>
          <w:color w:val="000000"/>
          <w:lang w:val="en-GB"/>
        </w:rPr>
        <w:t>r indexing with asset mapping</w:t>
      </w:r>
      <w:r w:rsidRPr="006B60C2">
        <w:rPr>
          <w:rFonts w:ascii="Cambria" w:hAnsi="Cambria" w:cs="Arial"/>
          <w:color w:val="000000"/>
          <w:lang w:val="en-GB"/>
        </w:rPr>
        <w:t xml:space="preserve"> through GPS is in tendering process and likely to be completed very soon for BED, Balasore on pilot basis.</w:t>
      </w:r>
    </w:p>
    <w:p w:rsidR="004507FC" w:rsidRPr="004507FC" w:rsidRDefault="004507FC" w:rsidP="004507FC">
      <w:pPr>
        <w:autoSpaceDE w:val="0"/>
        <w:autoSpaceDN w:val="0"/>
        <w:adjustRightInd w:val="0"/>
        <w:spacing w:after="240" w:line="360" w:lineRule="auto"/>
        <w:ind w:left="450"/>
        <w:jc w:val="both"/>
        <w:rPr>
          <w:rFonts w:ascii="Cambria" w:hAnsi="Cambria" w:cs="Arial"/>
          <w:color w:val="000000"/>
          <w:lang w:val="en-GB"/>
        </w:rPr>
      </w:pPr>
      <w:r w:rsidRPr="004507FC">
        <w:rPr>
          <w:rFonts w:ascii="Cambria" w:hAnsi="Cambria" w:cs="Arial"/>
          <w:b/>
          <w:color w:val="000000"/>
          <w:lang w:val="en-GB"/>
        </w:rPr>
        <w:lastRenderedPageBreak/>
        <w:t>339.</w:t>
      </w:r>
      <w:r w:rsidRPr="004507FC">
        <w:rPr>
          <w:rFonts w:ascii="Cambria" w:hAnsi="Cambria" w:cs="Arial"/>
          <w:color w:val="000000"/>
          <w:lang w:val="en-GB"/>
        </w:rPr>
        <w:t xml:space="preserve"> The above table reveals that no progress has been made towards Energy audit. The Commission hereby directs again to DISCOM Utilities to submit plan of action for the following energy audit activities during the year 2019-20: </w:t>
      </w:r>
    </w:p>
    <w:p w:rsidR="004507FC" w:rsidRPr="004507FC" w:rsidRDefault="004507FC" w:rsidP="004507FC">
      <w:pPr>
        <w:autoSpaceDE w:val="0"/>
        <w:autoSpaceDN w:val="0"/>
        <w:adjustRightInd w:val="0"/>
        <w:spacing w:after="240" w:line="360" w:lineRule="auto"/>
        <w:ind w:left="450"/>
        <w:jc w:val="both"/>
        <w:rPr>
          <w:rFonts w:ascii="Cambria" w:hAnsi="Cambria" w:cs="Arial"/>
          <w:color w:val="000000"/>
          <w:lang w:val="en-GB"/>
        </w:rPr>
      </w:pPr>
      <w:r w:rsidRPr="004507FC">
        <w:rPr>
          <w:rFonts w:ascii="Cambria" w:hAnsi="Cambria" w:cs="Arial"/>
          <w:color w:val="000000"/>
          <w:lang w:val="en-GB"/>
        </w:rPr>
        <w:t>1. Metering of all the 33 KV feeders, 11 KV feeders and Distribution transformers.</w:t>
      </w:r>
    </w:p>
    <w:p w:rsidR="004507FC" w:rsidRPr="004507FC" w:rsidRDefault="004507FC" w:rsidP="004507FC">
      <w:pPr>
        <w:autoSpaceDE w:val="0"/>
        <w:autoSpaceDN w:val="0"/>
        <w:adjustRightInd w:val="0"/>
        <w:spacing w:after="240" w:line="360" w:lineRule="auto"/>
        <w:ind w:left="450"/>
        <w:jc w:val="both"/>
        <w:rPr>
          <w:rFonts w:ascii="Cambria" w:hAnsi="Cambria" w:cs="Arial"/>
          <w:color w:val="000000"/>
          <w:lang w:val="en-GB"/>
        </w:rPr>
      </w:pPr>
      <w:r w:rsidRPr="004507FC">
        <w:rPr>
          <w:rFonts w:ascii="Cambria" w:hAnsi="Cambria" w:cs="Arial"/>
          <w:color w:val="000000"/>
          <w:lang w:val="en-GB"/>
        </w:rPr>
        <w:t xml:space="preserve">2. Energy Audit of balance 33 KV and 11 KV feeders, for which energy audit has not been carried out. </w:t>
      </w:r>
    </w:p>
    <w:p w:rsidR="004507FC" w:rsidRPr="004507FC" w:rsidRDefault="004507FC" w:rsidP="004507FC">
      <w:pPr>
        <w:autoSpaceDE w:val="0"/>
        <w:autoSpaceDN w:val="0"/>
        <w:adjustRightInd w:val="0"/>
        <w:spacing w:after="240" w:line="360" w:lineRule="auto"/>
        <w:ind w:left="450"/>
        <w:jc w:val="both"/>
        <w:rPr>
          <w:rFonts w:ascii="Cambria" w:hAnsi="Cambria" w:cs="Arial"/>
          <w:color w:val="000000"/>
          <w:lang w:val="en-GB"/>
        </w:rPr>
      </w:pPr>
      <w:r w:rsidRPr="004507FC">
        <w:rPr>
          <w:rFonts w:ascii="Cambria" w:hAnsi="Cambria" w:cs="Arial"/>
          <w:color w:val="000000"/>
          <w:lang w:val="en-GB"/>
        </w:rPr>
        <w:t xml:space="preserve">3. Energy audit of all the DTRs and consumers. </w:t>
      </w:r>
    </w:p>
    <w:p w:rsidR="004507FC" w:rsidRPr="004507FC" w:rsidRDefault="004507FC" w:rsidP="004507FC">
      <w:pPr>
        <w:autoSpaceDE w:val="0"/>
        <w:autoSpaceDN w:val="0"/>
        <w:adjustRightInd w:val="0"/>
        <w:spacing w:after="240" w:line="360" w:lineRule="auto"/>
        <w:ind w:left="450"/>
        <w:jc w:val="both"/>
        <w:rPr>
          <w:rFonts w:ascii="Cambria" w:hAnsi="Cambria" w:cs="Arial"/>
          <w:color w:val="000000"/>
          <w:lang w:val="en-GB"/>
        </w:rPr>
      </w:pPr>
      <w:r w:rsidRPr="004507FC">
        <w:rPr>
          <w:rFonts w:ascii="Cambria" w:hAnsi="Cambria" w:cs="Arial"/>
          <w:color w:val="000000"/>
          <w:lang w:val="en-GB"/>
        </w:rPr>
        <w:t xml:space="preserve">4. Consumer and pole indexing. </w:t>
      </w:r>
    </w:p>
    <w:p w:rsidR="004507FC" w:rsidRPr="004507FC" w:rsidRDefault="004507FC" w:rsidP="004507FC">
      <w:pPr>
        <w:autoSpaceDE w:val="0"/>
        <w:autoSpaceDN w:val="0"/>
        <w:adjustRightInd w:val="0"/>
        <w:spacing w:after="240" w:line="360" w:lineRule="auto"/>
        <w:ind w:left="450"/>
        <w:jc w:val="both"/>
        <w:rPr>
          <w:rFonts w:ascii="Cambria" w:hAnsi="Cambria" w:cs="Arial"/>
          <w:color w:val="000000"/>
          <w:lang w:val="en-GB"/>
        </w:rPr>
      </w:pPr>
      <w:r w:rsidRPr="004507FC">
        <w:rPr>
          <w:rFonts w:ascii="Cambria" w:hAnsi="Cambria" w:cs="Arial"/>
          <w:color w:val="000000"/>
          <w:lang w:val="en-GB"/>
        </w:rPr>
        <w:t xml:space="preserve">5. Energy audit of all consumers starting from 33 KV feeders to the end user consumer. </w:t>
      </w:r>
    </w:p>
    <w:p w:rsidR="006B60C2" w:rsidRPr="006B60C2" w:rsidRDefault="006B60C2" w:rsidP="006B60C2">
      <w:pPr>
        <w:pStyle w:val="BodyText"/>
        <w:spacing w:before="114" w:line="360" w:lineRule="auto"/>
        <w:rPr>
          <w:rFonts w:asciiTheme="majorHAnsi" w:hAnsiTheme="majorHAnsi"/>
          <w:b/>
          <w:i/>
          <w:u w:val="single"/>
        </w:rPr>
      </w:pPr>
      <w:r w:rsidRPr="006B60C2">
        <w:rPr>
          <w:rFonts w:asciiTheme="majorHAnsi" w:hAnsiTheme="majorHAnsi"/>
          <w:b/>
          <w:i/>
          <w:u w:val="single"/>
        </w:rPr>
        <w:t>Compliance :</w:t>
      </w:r>
    </w:p>
    <w:p w:rsidR="006B60C2" w:rsidRPr="006B60C2" w:rsidRDefault="006B60C2" w:rsidP="006B60C2">
      <w:pPr>
        <w:autoSpaceDE w:val="0"/>
        <w:autoSpaceDN w:val="0"/>
        <w:adjustRightInd w:val="0"/>
        <w:spacing w:after="240" w:line="360" w:lineRule="auto"/>
        <w:ind w:left="450"/>
        <w:jc w:val="both"/>
        <w:rPr>
          <w:rFonts w:ascii="Cambria" w:hAnsi="Cambria" w:cs="Arial"/>
          <w:color w:val="000000"/>
          <w:lang w:val="en-GB"/>
        </w:rPr>
      </w:pPr>
      <w:r w:rsidRPr="006B60C2">
        <w:rPr>
          <w:rFonts w:ascii="Cambria" w:hAnsi="Cambria" w:cs="Arial"/>
          <w:color w:val="000000"/>
          <w:lang w:val="en-GB"/>
        </w:rPr>
        <w:t>In compliance to the direction of Hon’ble Commission,</w:t>
      </w:r>
    </w:p>
    <w:p w:rsidR="006B60C2" w:rsidRPr="006B60C2" w:rsidRDefault="006B60C2" w:rsidP="006B60C2">
      <w:pPr>
        <w:autoSpaceDE w:val="0"/>
        <w:autoSpaceDN w:val="0"/>
        <w:adjustRightInd w:val="0"/>
        <w:spacing w:after="240" w:line="360" w:lineRule="auto"/>
        <w:ind w:left="450"/>
        <w:jc w:val="both"/>
        <w:rPr>
          <w:rFonts w:ascii="Cambria" w:hAnsi="Cambria" w:cs="Arial"/>
          <w:color w:val="000000"/>
          <w:lang w:val="en-GB"/>
        </w:rPr>
      </w:pPr>
      <w:r w:rsidRPr="006B60C2">
        <w:rPr>
          <w:rFonts w:ascii="Cambria" w:hAnsi="Cambria" w:cs="Arial"/>
          <w:color w:val="000000"/>
          <w:lang w:val="en-GB"/>
        </w:rPr>
        <w:t xml:space="preserve">    The present status of Energy Audit in NESCO utility is as follows:-</w:t>
      </w:r>
    </w:p>
    <w:p w:rsidR="006B60C2" w:rsidRDefault="006B60C2" w:rsidP="006B60C2">
      <w:pPr>
        <w:pStyle w:val="ListParagraph"/>
        <w:numPr>
          <w:ilvl w:val="1"/>
          <w:numId w:val="6"/>
        </w:numPr>
        <w:autoSpaceDE w:val="0"/>
        <w:autoSpaceDN w:val="0"/>
        <w:adjustRightInd w:val="0"/>
        <w:spacing w:after="240" w:line="360" w:lineRule="auto"/>
        <w:jc w:val="both"/>
        <w:rPr>
          <w:rFonts w:ascii="Cambria" w:hAnsi="Cambria" w:cs="Arial"/>
          <w:color w:val="000000"/>
          <w:sz w:val="24"/>
          <w:szCs w:val="24"/>
          <w:lang w:val="en-GB"/>
        </w:rPr>
      </w:pPr>
      <w:r>
        <w:rPr>
          <w:rFonts w:ascii="Cambria" w:hAnsi="Cambria" w:cs="Arial"/>
          <w:color w:val="000000"/>
          <w:sz w:val="24"/>
          <w:szCs w:val="24"/>
          <w:lang w:val="en-GB"/>
        </w:rPr>
        <w:t xml:space="preserve">All </w:t>
      </w:r>
      <w:r w:rsidRPr="006B60C2">
        <w:rPr>
          <w:rFonts w:ascii="Cambria" w:hAnsi="Cambria" w:cs="Arial"/>
          <w:color w:val="000000"/>
          <w:sz w:val="24"/>
          <w:szCs w:val="24"/>
          <w:lang w:val="en-GB"/>
        </w:rPr>
        <w:t>33KV feeder metering emanating from grid sub-station</w:t>
      </w:r>
      <w:r>
        <w:rPr>
          <w:rFonts w:ascii="Cambria" w:hAnsi="Cambria" w:cs="Arial"/>
          <w:color w:val="000000"/>
          <w:sz w:val="24"/>
          <w:szCs w:val="24"/>
          <w:lang w:val="en-GB"/>
        </w:rPr>
        <w:t>s are</w:t>
      </w:r>
      <w:r w:rsidRPr="006B60C2">
        <w:rPr>
          <w:rFonts w:ascii="Cambria" w:hAnsi="Cambria" w:cs="Arial"/>
          <w:color w:val="000000"/>
          <w:sz w:val="24"/>
          <w:szCs w:val="24"/>
          <w:lang w:val="en-GB"/>
        </w:rPr>
        <w:t xml:space="preserve"> in </w:t>
      </w:r>
      <w:r>
        <w:rPr>
          <w:rFonts w:ascii="Cambria" w:hAnsi="Cambria" w:cs="Arial"/>
          <w:color w:val="000000"/>
          <w:sz w:val="24"/>
          <w:szCs w:val="24"/>
          <w:lang w:val="en-GB"/>
        </w:rPr>
        <w:t xml:space="preserve">running </w:t>
      </w:r>
      <w:r w:rsidRPr="006B60C2">
        <w:rPr>
          <w:rFonts w:ascii="Cambria" w:hAnsi="Cambria" w:cs="Arial"/>
          <w:color w:val="000000"/>
          <w:sz w:val="24"/>
          <w:szCs w:val="24"/>
          <w:lang w:val="en-GB"/>
        </w:rPr>
        <w:t xml:space="preserve">condition. Replacement of 94 nos of defective 11Kv feeder metering is in progress and likely to be completed by Mar-2020. DTR metering of 1920 nos of DTR has already been completed and additional 700 nos of DTR metering in urban areas </w:t>
      </w:r>
      <w:r>
        <w:rPr>
          <w:rFonts w:ascii="Cambria" w:hAnsi="Cambria" w:cs="Arial"/>
          <w:color w:val="000000"/>
          <w:sz w:val="24"/>
          <w:szCs w:val="24"/>
          <w:lang w:val="en-GB"/>
        </w:rPr>
        <w:t>under IPDS scheme are</w:t>
      </w:r>
      <w:r w:rsidRPr="006B60C2">
        <w:rPr>
          <w:rFonts w:ascii="Cambria" w:hAnsi="Cambria" w:cs="Arial"/>
          <w:color w:val="000000"/>
          <w:sz w:val="24"/>
          <w:szCs w:val="24"/>
          <w:lang w:val="en-GB"/>
        </w:rPr>
        <w:t xml:space="preserve"> in progress.</w:t>
      </w:r>
    </w:p>
    <w:p w:rsidR="006B60C2" w:rsidRDefault="006B60C2" w:rsidP="006B60C2">
      <w:pPr>
        <w:pStyle w:val="ListParagraph"/>
        <w:numPr>
          <w:ilvl w:val="1"/>
          <w:numId w:val="6"/>
        </w:numPr>
        <w:autoSpaceDE w:val="0"/>
        <w:autoSpaceDN w:val="0"/>
        <w:adjustRightInd w:val="0"/>
        <w:spacing w:after="240" w:line="360" w:lineRule="auto"/>
        <w:jc w:val="both"/>
        <w:rPr>
          <w:rFonts w:ascii="Cambria" w:hAnsi="Cambria" w:cs="Arial"/>
          <w:color w:val="000000"/>
          <w:sz w:val="24"/>
          <w:szCs w:val="24"/>
          <w:lang w:val="en-GB"/>
        </w:rPr>
      </w:pPr>
      <w:r w:rsidRPr="006B60C2">
        <w:rPr>
          <w:rFonts w:ascii="Cambria" w:hAnsi="Cambria" w:cs="Arial"/>
          <w:color w:val="000000"/>
          <w:sz w:val="24"/>
          <w:szCs w:val="24"/>
          <w:lang w:val="en-GB"/>
        </w:rPr>
        <w:t>After loading of 53 nos of new 33/11KV Sub Stations under ODSSP scheme additional 180nos of feeders were added to the electrical network of NESCO utility.</w:t>
      </w:r>
      <w:r>
        <w:rPr>
          <w:rFonts w:ascii="Cambria" w:hAnsi="Cambria" w:cs="Arial"/>
          <w:color w:val="000000"/>
          <w:sz w:val="24"/>
          <w:szCs w:val="24"/>
          <w:lang w:val="en-GB"/>
        </w:rPr>
        <w:t xml:space="preserve"> Out of 180nos 11KV feeders </w:t>
      </w:r>
      <w:r w:rsidRPr="006B60C2">
        <w:rPr>
          <w:rFonts w:ascii="Cambria" w:hAnsi="Cambria" w:cs="Arial"/>
          <w:color w:val="000000"/>
          <w:sz w:val="24"/>
          <w:szCs w:val="24"/>
          <w:lang w:val="en-GB"/>
        </w:rPr>
        <w:t>Consumer tagging of 95 nos has been completed and consumer tagging of balance 85 nos is in progress and likely to be completed by Jan-2020.</w:t>
      </w:r>
    </w:p>
    <w:p w:rsidR="006B60C2" w:rsidRDefault="006B60C2" w:rsidP="006B60C2">
      <w:pPr>
        <w:pStyle w:val="ListParagraph"/>
        <w:numPr>
          <w:ilvl w:val="1"/>
          <w:numId w:val="6"/>
        </w:numPr>
        <w:autoSpaceDE w:val="0"/>
        <w:autoSpaceDN w:val="0"/>
        <w:adjustRightInd w:val="0"/>
        <w:spacing w:after="240" w:line="360" w:lineRule="auto"/>
        <w:jc w:val="both"/>
        <w:rPr>
          <w:rFonts w:ascii="Cambria" w:hAnsi="Cambria" w:cs="Arial"/>
          <w:color w:val="000000"/>
          <w:sz w:val="24"/>
          <w:szCs w:val="24"/>
          <w:lang w:val="en-GB"/>
        </w:rPr>
      </w:pPr>
      <w:r w:rsidRPr="006B60C2">
        <w:rPr>
          <w:rFonts w:ascii="Cambria" w:hAnsi="Cambria" w:cs="Arial"/>
          <w:color w:val="000000"/>
          <w:sz w:val="24"/>
          <w:szCs w:val="24"/>
          <w:lang w:val="en-GB"/>
        </w:rPr>
        <w:t>Energy audit of al</w:t>
      </w:r>
      <w:r>
        <w:rPr>
          <w:rFonts w:ascii="Cambria" w:hAnsi="Cambria" w:cs="Arial"/>
          <w:color w:val="000000"/>
          <w:sz w:val="24"/>
          <w:szCs w:val="24"/>
          <w:lang w:val="en-GB"/>
        </w:rPr>
        <w:t>l urban 11KV feeders upto DTR le</w:t>
      </w:r>
      <w:r w:rsidRPr="006B60C2">
        <w:rPr>
          <w:rFonts w:ascii="Cambria" w:hAnsi="Cambria" w:cs="Arial"/>
          <w:color w:val="000000"/>
          <w:sz w:val="24"/>
          <w:szCs w:val="24"/>
          <w:lang w:val="en-GB"/>
        </w:rPr>
        <w:t>vel is likely to be completed by Mar-2020.</w:t>
      </w:r>
    </w:p>
    <w:p w:rsidR="006B60C2" w:rsidRDefault="006B60C2" w:rsidP="006B60C2">
      <w:pPr>
        <w:pStyle w:val="ListParagraph"/>
        <w:numPr>
          <w:ilvl w:val="1"/>
          <w:numId w:val="6"/>
        </w:numPr>
        <w:autoSpaceDE w:val="0"/>
        <w:autoSpaceDN w:val="0"/>
        <w:adjustRightInd w:val="0"/>
        <w:spacing w:after="240" w:line="360" w:lineRule="auto"/>
        <w:jc w:val="both"/>
        <w:rPr>
          <w:rFonts w:ascii="Cambria" w:hAnsi="Cambria" w:cs="Arial"/>
          <w:color w:val="000000"/>
          <w:sz w:val="24"/>
          <w:szCs w:val="24"/>
          <w:lang w:val="en-GB"/>
        </w:rPr>
      </w:pPr>
      <w:r w:rsidRPr="006B60C2">
        <w:rPr>
          <w:rFonts w:ascii="Cambria" w:hAnsi="Cambria" w:cs="Arial"/>
          <w:color w:val="000000"/>
          <w:sz w:val="24"/>
          <w:szCs w:val="24"/>
          <w:lang w:val="en-GB"/>
        </w:rPr>
        <w:t>GPS mapping of consumers and asset is in tendering process for BED, Balasore on pilot basis.</w:t>
      </w:r>
    </w:p>
    <w:p w:rsidR="006B60C2" w:rsidRPr="006B60C2" w:rsidRDefault="006B60C2" w:rsidP="006B60C2">
      <w:pPr>
        <w:pStyle w:val="ListParagraph"/>
        <w:numPr>
          <w:ilvl w:val="1"/>
          <w:numId w:val="6"/>
        </w:numPr>
        <w:autoSpaceDE w:val="0"/>
        <w:autoSpaceDN w:val="0"/>
        <w:adjustRightInd w:val="0"/>
        <w:spacing w:after="240" w:line="360" w:lineRule="auto"/>
        <w:jc w:val="both"/>
        <w:rPr>
          <w:rFonts w:ascii="Cambria" w:hAnsi="Cambria" w:cs="Arial"/>
          <w:color w:val="000000"/>
          <w:sz w:val="24"/>
          <w:szCs w:val="24"/>
          <w:lang w:val="en-GB"/>
        </w:rPr>
      </w:pPr>
      <w:r w:rsidRPr="006B60C2">
        <w:rPr>
          <w:rFonts w:ascii="Cambria" w:hAnsi="Cambria" w:cs="Arial"/>
          <w:color w:val="000000"/>
          <w:sz w:val="24"/>
          <w:szCs w:val="24"/>
          <w:lang w:val="en-GB"/>
        </w:rPr>
        <w:lastRenderedPageBreak/>
        <w:t>Out of 91 nos of 33KV feeders, 14 nos are dedicated for high value</w:t>
      </w:r>
      <w:r>
        <w:rPr>
          <w:rFonts w:ascii="Cambria" w:hAnsi="Cambria" w:cs="Arial"/>
          <w:color w:val="000000"/>
          <w:sz w:val="24"/>
          <w:szCs w:val="24"/>
          <w:lang w:val="en-GB"/>
        </w:rPr>
        <w:t>d</w:t>
      </w:r>
      <w:r w:rsidRPr="006B60C2">
        <w:rPr>
          <w:rFonts w:ascii="Cambria" w:hAnsi="Cambria" w:cs="Arial"/>
          <w:color w:val="000000"/>
          <w:sz w:val="24"/>
          <w:szCs w:val="24"/>
          <w:lang w:val="en-GB"/>
        </w:rPr>
        <w:t xml:space="preserve"> consumers. Balance 77 nos of 33KV feeders supplying power to consumers. Out of 77nos of 33KV feeders, Energy audit of 63 nos of 33Kv feeders starting from 33 KV feeders to the end user consumer has been completed. After completion of consumer tagging of balance 11KV feeders all the 77nos of 33KV feeder audit will be completed by Jan-2020.</w:t>
      </w:r>
    </w:p>
    <w:p w:rsidR="004507FC" w:rsidRPr="004507FC" w:rsidRDefault="004507FC" w:rsidP="004507FC">
      <w:pPr>
        <w:autoSpaceDE w:val="0"/>
        <w:autoSpaceDN w:val="0"/>
        <w:adjustRightInd w:val="0"/>
        <w:spacing w:after="240" w:line="360" w:lineRule="auto"/>
        <w:ind w:left="450"/>
        <w:jc w:val="both"/>
        <w:rPr>
          <w:rFonts w:ascii="Cambria" w:hAnsi="Cambria" w:cs="Arial"/>
          <w:color w:val="000000"/>
          <w:lang w:val="en-GB"/>
        </w:rPr>
      </w:pPr>
      <w:r w:rsidRPr="004507FC">
        <w:rPr>
          <w:rFonts w:ascii="Cambria" w:hAnsi="Cambria" w:cs="Arial"/>
          <w:b/>
          <w:color w:val="000000"/>
          <w:lang w:val="en-GB"/>
        </w:rPr>
        <w:t xml:space="preserve">340. </w:t>
      </w:r>
      <w:r w:rsidRPr="004507FC">
        <w:rPr>
          <w:rFonts w:ascii="Cambria" w:hAnsi="Cambria" w:cs="Arial"/>
          <w:color w:val="000000"/>
          <w:lang w:val="en-GB"/>
        </w:rPr>
        <w:t>The licensee must provide specific timelines division and feeder wise plan for each of the above activity. It must be noted that while devising the plan, the thrust must be given to complete the audit of Industrial feeders and loss making urban feeders first, gradually focusing on other feeders and DTRs. In view of the importance of energy audit activity Commission allows Rs.5 crore each to all the DISCOM Utilities towards AT &amp; C loss reduction activities including Energy Audit under the head additional A&amp;G expenses for FY 2019-20. Besides, the commission has also allowed allocation under the head Additional A&amp;G towards Inspection Fee towards SI works and Compensation for Electrical Accidents.</w:t>
      </w:r>
    </w:p>
    <w:p w:rsidR="004507FC" w:rsidRPr="00A6399F" w:rsidRDefault="004507FC" w:rsidP="004507FC">
      <w:pPr>
        <w:autoSpaceDE w:val="0"/>
        <w:autoSpaceDN w:val="0"/>
        <w:adjustRightInd w:val="0"/>
        <w:spacing w:after="240" w:line="360" w:lineRule="auto"/>
        <w:ind w:left="450"/>
        <w:jc w:val="both"/>
        <w:rPr>
          <w:rFonts w:ascii="Cambria" w:hAnsi="Cambria" w:cs="Arial"/>
          <w:b/>
          <w:i/>
          <w:color w:val="000000"/>
          <w:lang w:val="en-GB"/>
        </w:rPr>
      </w:pPr>
      <w:r w:rsidRPr="00A6399F">
        <w:rPr>
          <w:rFonts w:ascii="Cambria" w:hAnsi="Cambria" w:cs="Arial"/>
          <w:b/>
          <w:i/>
          <w:color w:val="000000"/>
          <w:lang w:val="en-GB"/>
        </w:rPr>
        <w:t>Compliance :</w:t>
      </w:r>
    </w:p>
    <w:p w:rsidR="004507FC" w:rsidRPr="004507FC" w:rsidRDefault="004507FC" w:rsidP="004507FC">
      <w:pPr>
        <w:autoSpaceDE w:val="0"/>
        <w:autoSpaceDN w:val="0"/>
        <w:adjustRightInd w:val="0"/>
        <w:spacing w:after="240" w:line="360" w:lineRule="auto"/>
        <w:ind w:left="450"/>
        <w:jc w:val="both"/>
        <w:rPr>
          <w:rFonts w:ascii="Cambria" w:hAnsi="Cambria" w:cs="Arial"/>
          <w:color w:val="000000"/>
          <w:lang w:val="en-GB"/>
        </w:rPr>
      </w:pPr>
      <w:r w:rsidRPr="00A6399F">
        <w:rPr>
          <w:rFonts w:ascii="Cambria" w:hAnsi="Cambria" w:cs="Arial"/>
          <w:color w:val="000000"/>
          <w:lang w:val="en-GB"/>
        </w:rPr>
        <w:t xml:space="preserve">The Compliance to the above has been explained at para </w:t>
      </w:r>
      <w:r w:rsidR="00A6399F" w:rsidRPr="00A6399F">
        <w:rPr>
          <w:rFonts w:ascii="Cambria" w:hAnsi="Cambria" w:cs="Arial"/>
          <w:color w:val="000000"/>
          <w:lang w:val="en-GB"/>
        </w:rPr>
        <w:t>337 and 339</w:t>
      </w:r>
      <w:r w:rsidRPr="00A6399F">
        <w:rPr>
          <w:rFonts w:ascii="Cambria" w:hAnsi="Cambria" w:cs="Arial"/>
          <w:color w:val="000000"/>
          <w:lang w:val="en-GB"/>
        </w:rPr>
        <w:t xml:space="preserve"> which may kindly  be referred into.</w:t>
      </w:r>
    </w:p>
    <w:p w:rsidR="004507FC" w:rsidRPr="004507FC" w:rsidRDefault="004507FC" w:rsidP="004507FC">
      <w:pPr>
        <w:autoSpaceDE w:val="0"/>
        <w:autoSpaceDN w:val="0"/>
        <w:adjustRightInd w:val="0"/>
        <w:spacing w:after="240" w:line="360" w:lineRule="auto"/>
        <w:ind w:left="450"/>
        <w:jc w:val="both"/>
        <w:rPr>
          <w:rFonts w:ascii="Cambria" w:hAnsi="Cambria" w:cs="Arial"/>
          <w:color w:val="000000"/>
          <w:lang w:val="en-GB"/>
        </w:rPr>
      </w:pPr>
      <w:r w:rsidRPr="004507FC">
        <w:rPr>
          <w:rFonts w:ascii="Cambria" w:hAnsi="Cambria" w:cs="Arial"/>
          <w:b/>
          <w:color w:val="000000"/>
          <w:lang w:val="en-GB"/>
        </w:rPr>
        <w:t>341.</w:t>
      </w:r>
      <w:r w:rsidRPr="004507FC">
        <w:rPr>
          <w:rFonts w:ascii="Cambria" w:hAnsi="Cambria" w:cs="Arial"/>
          <w:color w:val="000000"/>
          <w:lang w:val="en-GB"/>
        </w:rPr>
        <w:t xml:space="preserve"> Training of Personnel out of normal A&amp;G expenditure - The Commission has laid emphasis on the Capacity building of employees and officers for development of the organization. This is more important in view of the fact that knowledge on evolving technologies and best practices being used by the other organizations are efficiency accelerators. Commission, therefore, gives importance to the training of personnel of 102 the utilities in order to upgrade their skills to cope up with the changing needs. Utilities should have a calendar of training schedule for their employees to take their task efficiently. In spite of past orders, no visible action has been taken. Organising training and efficiency improvement of employees’ measurement should be an indicator of HR performance. Commission, therefore, provided Rs.50 lakh towards training programme for each DISCOM out of normal A&amp;G expenses previous years. Commission in line with previous RST order directs Licensees to earmark Rs.50 lakh towards training programme for FY 2019-20. The copy of training calendar for the </w:t>
      </w:r>
      <w:r w:rsidRPr="004507FC">
        <w:rPr>
          <w:rFonts w:ascii="Cambria" w:hAnsi="Cambria" w:cs="Arial"/>
          <w:color w:val="000000"/>
          <w:lang w:val="en-GB"/>
        </w:rPr>
        <w:lastRenderedPageBreak/>
        <w:t>year 2019-20 shall be submitted to the Commission by 31st May, 2019. Failures need to be recorded in the performance of HR Head.</w:t>
      </w:r>
    </w:p>
    <w:p w:rsidR="004507FC" w:rsidRPr="004507FC" w:rsidRDefault="004507FC" w:rsidP="004507FC">
      <w:pPr>
        <w:pStyle w:val="BodyText"/>
        <w:spacing w:before="114" w:line="360" w:lineRule="auto"/>
        <w:ind w:left="360"/>
        <w:rPr>
          <w:rFonts w:ascii="Cambria" w:hAnsi="Cambria" w:cs="Arial"/>
          <w:b/>
          <w:i/>
          <w:color w:val="000000"/>
          <w:lang w:val="en-GB"/>
        </w:rPr>
      </w:pPr>
      <w:r w:rsidRPr="004507FC">
        <w:rPr>
          <w:rFonts w:ascii="Cambria" w:hAnsi="Cambria" w:cs="Arial"/>
          <w:b/>
          <w:i/>
          <w:color w:val="000000"/>
          <w:lang w:val="en-GB"/>
        </w:rPr>
        <w:t>Compliance:</w:t>
      </w:r>
    </w:p>
    <w:p w:rsidR="004507FC" w:rsidRPr="004507FC" w:rsidRDefault="004507FC" w:rsidP="004507FC">
      <w:pPr>
        <w:pStyle w:val="ListParagraph"/>
        <w:autoSpaceDE w:val="0"/>
        <w:autoSpaceDN w:val="0"/>
        <w:adjustRightInd w:val="0"/>
        <w:spacing w:line="360" w:lineRule="auto"/>
        <w:ind w:left="360"/>
        <w:jc w:val="both"/>
        <w:rPr>
          <w:rFonts w:ascii="Cambria" w:eastAsia="Times New Roman" w:hAnsi="Cambria" w:cs="Arial"/>
          <w:color w:val="000000"/>
          <w:sz w:val="24"/>
          <w:szCs w:val="24"/>
          <w:lang w:val="en-GB"/>
        </w:rPr>
      </w:pPr>
      <w:r w:rsidRPr="004507FC">
        <w:rPr>
          <w:rFonts w:ascii="Cambria" w:eastAsia="Times New Roman" w:hAnsi="Cambria" w:cs="Arial"/>
          <w:color w:val="000000"/>
          <w:sz w:val="24"/>
          <w:szCs w:val="24"/>
          <w:lang w:val="en-GB"/>
        </w:rPr>
        <w:t>In compliance to the direction of the Hon’ble Commission, training calendar for 2019-20 has been submitted before the Hon'ble Commission vide letter no. RA/119/8237 dated 19.6.19</w:t>
      </w:r>
    </w:p>
    <w:p w:rsidR="004507FC" w:rsidRPr="004507FC" w:rsidRDefault="004507FC" w:rsidP="004507FC">
      <w:pPr>
        <w:pStyle w:val="ListParagraph"/>
        <w:autoSpaceDE w:val="0"/>
        <w:autoSpaceDN w:val="0"/>
        <w:adjustRightInd w:val="0"/>
        <w:spacing w:line="360" w:lineRule="auto"/>
        <w:ind w:left="360"/>
        <w:jc w:val="both"/>
        <w:rPr>
          <w:rFonts w:ascii="Cambria" w:eastAsia="Times New Roman" w:hAnsi="Cambria" w:cs="Arial"/>
          <w:color w:val="000000"/>
          <w:sz w:val="24"/>
          <w:szCs w:val="24"/>
          <w:lang w:val="en-GB"/>
        </w:rPr>
      </w:pPr>
      <w:r w:rsidRPr="004507FC">
        <w:rPr>
          <w:rFonts w:ascii="Cambria" w:eastAsia="Times New Roman" w:hAnsi="Cambria" w:cs="Arial"/>
          <w:color w:val="000000"/>
          <w:sz w:val="24"/>
          <w:szCs w:val="24"/>
          <w:lang w:val="en-GB"/>
        </w:rPr>
        <w:t xml:space="preserve">358. In view of the large gap as per audited accounts and physical availability, figures at Col. 2 and 3 above, we direct the DISCOM Utilities to have a comprehensive audit of the SD and get the figures reconciled. Commission therefore directs the DISCOM Utilities to maintain the security deposit intact so as to meet this liability. Commission further directs the DISCOM Utilities to recoup the deficit of the security deposit through enhanced collection and submit a plan of action by 30.06.2019 for such a programme. </w:t>
      </w:r>
    </w:p>
    <w:p w:rsidR="004507FC" w:rsidRDefault="004507FC" w:rsidP="004507FC">
      <w:pPr>
        <w:pStyle w:val="ListParagraph"/>
        <w:autoSpaceDE w:val="0"/>
        <w:autoSpaceDN w:val="0"/>
        <w:adjustRightInd w:val="0"/>
        <w:spacing w:line="360" w:lineRule="auto"/>
        <w:ind w:left="360"/>
        <w:jc w:val="both"/>
        <w:rPr>
          <w:rFonts w:ascii="Cambria" w:eastAsia="Times New Roman" w:hAnsi="Cambria" w:cs="Arial"/>
          <w:b/>
          <w:i/>
          <w:color w:val="000000"/>
          <w:sz w:val="24"/>
          <w:szCs w:val="24"/>
          <w:lang w:val="en-GB"/>
        </w:rPr>
      </w:pPr>
    </w:p>
    <w:p w:rsidR="004507FC" w:rsidRPr="004507FC" w:rsidRDefault="004507FC" w:rsidP="004507FC">
      <w:pPr>
        <w:pStyle w:val="ListParagraph"/>
        <w:autoSpaceDE w:val="0"/>
        <w:autoSpaceDN w:val="0"/>
        <w:adjustRightInd w:val="0"/>
        <w:spacing w:line="360" w:lineRule="auto"/>
        <w:ind w:left="360"/>
        <w:jc w:val="both"/>
        <w:rPr>
          <w:rFonts w:ascii="Cambria" w:eastAsia="Times New Roman" w:hAnsi="Cambria" w:cs="Arial"/>
          <w:b/>
          <w:i/>
          <w:color w:val="000000"/>
          <w:sz w:val="24"/>
          <w:szCs w:val="24"/>
          <w:lang w:val="en-GB"/>
        </w:rPr>
      </w:pPr>
      <w:r w:rsidRPr="004507FC">
        <w:rPr>
          <w:rFonts w:ascii="Cambria" w:eastAsia="Times New Roman" w:hAnsi="Cambria" w:cs="Arial"/>
          <w:b/>
          <w:i/>
          <w:color w:val="000000"/>
          <w:sz w:val="24"/>
          <w:szCs w:val="24"/>
          <w:lang w:val="en-GB"/>
        </w:rPr>
        <w:t>Compliance:</w:t>
      </w:r>
    </w:p>
    <w:p w:rsidR="004507FC" w:rsidRPr="004507FC" w:rsidRDefault="004507FC" w:rsidP="004507FC">
      <w:pPr>
        <w:pStyle w:val="ListParagraph"/>
        <w:autoSpaceDE w:val="0"/>
        <w:autoSpaceDN w:val="0"/>
        <w:adjustRightInd w:val="0"/>
        <w:spacing w:line="360" w:lineRule="auto"/>
        <w:ind w:left="360"/>
        <w:jc w:val="both"/>
        <w:rPr>
          <w:rFonts w:ascii="Cambria" w:eastAsia="Times New Roman" w:hAnsi="Cambria" w:cs="Arial"/>
          <w:color w:val="000000"/>
          <w:sz w:val="24"/>
          <w:szCs w:val="24"/>
          <w:lang w:val="en-GB"/>
        </w:rPr>
      </w:pPr>
      <w:r w:rsidRPr="004507FC">
        <w:rPr>
          <w:rFonts w:ascii="Cambria" w:eastAsia="Times New Roman" w:hAnsi="Cambria" w:cs="Arial"/>
          <w:color w:val="000000"/>
          <w:sz w:val="24"/>
          <w:szCs w:val="24"/>
          <w:lang w:val="en-GB"/>
        </w:rPr>
        <w:t>It is to submit that, as per the audited books of accounts, the security deposit as on 31.03.2019 is Rs.574.60Crore. The Balance of S.D appearing in the Books of account consists of opening balance of 1999, subsequent additions and refund made to the consumers thereafter. The opening balance as on 31.03.1999 was Rs.28.19Crores as per Books of account but no such physical cash was transferred by GRIDCO to NESCO. The present book balance as on 31.03.2019 is Rs.574.60crore against which the physical balance as on 31.10.2019 is Rs.604.63Crores. The earlier shortfall has already been recouped through interest accruals on fixed deposits made out of security deposits.</w:t>
      </w:r>
    </w:p>
    <w:p w:rsidR="004507FC" w:rsidRPr="004507FC" w:rsidRDefault="004507FC" w:rsidP="004507FC">
      <w:pPr>
        <w:pStyle w:val="ListParagraph"/>
        <w:autoSpaceDE w:val="0"/>
        <w:autoSpaceDN w:val="0"/>
        <w:adjustRightInd w:val="0"/>
        <w:spacing w:line="360" w:lineRule="auto"/>
        <w:ind w:left="360"/>
        <w:jc w:val="both"/>
        <w:rPr>
          <w:rFonts w:ascii="Cambria" w:eastAsia="Times New Roman" w:hAnsi="Cambria" w:cs="Arial"/>
          <w:color w:val="000000"/>
          <w:sz w:val="24"/>
          <w:szCs w:val="24"/>
          <w:lang w:val="en-GB"/>
        </w:rPr>
      </w:pPr>
      <w:r w:rsidRPr="004507FC">
        <w:rPr>
          <w:rFonts w:ascii="Cambria" w:eastAsia="Times New Roman" w:hAnsi="Cambria" w:cs="Arial"/>
          <w:b/>
          <w:color w:val="000000"/>
          <w:sz w:val="24"/>
          <w:szCs w:val="24"/>
          <w:lang w:val="en-GB"/>
        </w:rPr>
        <w:t>385.</w:t>
      </w:r>
      <w:r w:rsidRPr="004507FC">
        <w:rPr>
          <w:rFonts w:ascii="Cambria" w:eastAsia="Times New Roman" w:hAnsi="Cambria" w:cs="Arial"/>
          <w:color w:val="000000"/>
          <w:sz w:val="24"/>
          <w:szCs w:val="24"/>
          <w:lang w:val="en-GB"/>
        </w:rPr>
        <w:t xml:space="preserve"> The Commission directs both GRIDCO and DISCOM Utilities to file a reply before the Commission regarding action plan taken for liquidation of the arrears as stated above by 31.05.2019. </w:t>
      </w:r>
    </w:p>
    <w:p w:rsidR="004507FC" w:rsidRPr="004507FC" w:rsidRDefault="004507FC" w:rsidP="004507FC">
      <w:pPr>
        <w:pStyle w:val="ListParagraph"/>
        <w:autoSpaceDE w:val="0"/>
        <w:autoSpaceDN w:val="0"/>
        <w:adjustRightInd w:val="0"/>
        <w:spacing w:line="360" w:lineRule="auto"/>
        <w:ind w:left="360"/>
        <w:jc w:val="both"/>
        <w:rPr>
          <w:rFonts w:ascii="Cambria" w:eastAsia="Times New Roman" w:hAnsi="Cambria" w:cs="Arial"/>
          <w:b/>
          <w:i/>
          <w:color w:val="000000"/>
          <w:sz w:val="24"/>
          <w:szCs w:val="24"/>
          <w:lang w:val="en-GB"/>
        </w:rPr>
      </w:pPr>
      <w:r w:rsidRPr="004507FC">
        <w:rPr>
          <w:rFonts w:ascii="Cambria" w:eastAsia="Times New Roman" w:hAnsi="Cambria" w:cs="Arial"/>
          <w:b/>
          <w:i/>
          <w:color w:val="000000"/>
          <w:sz w:val="24"/>
          <w:szCs w:val="24"/>
          <w:lang w:val="en-GB"/>
        </w:rPr>
        <w:t>Compliance</w:t>
      </w:r>
    </w:p>
    <w:p w:rsidR="004507FC" w:rsidRPr="004507FC" w:rsidRDefault="004507FC" w:rsidP="004507FC">
      <w:pPr>
        <w:pStyle w:val="ListParagraph"/>
        <w:autoSpaceDE w:val="0"/>
        <w:autoSpaceDN w:val="0"/>
        <w:adjustRightInd w:val="0"/>
        <w:spacing w:line="360" w:lineRule="auto"/>
        <w:ind w:left="360"/>
        <w:jc w:val="both"/>
        <w:rPr>
          <w:rFonts w:ascii="Cambria" w:eastAsia="Times New Roman" w:hAnsi="Cambria" w:cs="Arial"/>
          <w:color w:val="000000"/>
          <w:sz w:val="24"/>
          <w:szCs w:val="24"/>
          <w:lang w:val="en-GB"/>
        </w:rPr>
      </w:pPr>
    </w:p>
    <w:p w:rsidR="004507FC" w:rsidRPr="004507FC" w:rsidRDefault="004507FC" w:rsidP="004507FC">
      <w:pPr>
        <w:pStyle w:val="ListParagraph"/>
        <w:autoSpaceDE w:val="0"/>
        <w:autoSpaceDN w:val="0"/>
        <w:adjustRightInd w:val="0"/>
        <w:spacing w:line="360" w:lineRule="auto"/>
        <w:ind w:left="360"/>
        <w:jc w:val="both"/>
        <w:rPr>
          <w:rFonts w:ascii="Cambria" w:eastAsia="Times New Roman" w:hAnsi="Cambria" w:cs="Arial"/>
          <w:color w:val="000000"/>
          <w:sz w:val="24"/>
          <w:szCs w:val="24"/>
          <w:lang w:val="en-GB"/>
        </w:rPr>
      </w:pPr>
      <w:r w:rsidRPr="004507FC">
        <w:rPr>
          <w:rFonts w:ascii="Cambria" w:eastAsia="Times New Roman" w:hAnsi="Cambria" w:cs="Arial"/>
          <w:color w:val="000000"/>
          <w:sz w:val="24"/>
          <w:szCs w:val="24"/>
          <w:lang w:val="en-GB"/>
        </w:rPr>
        <w:t xml:space="preserve">In compliance to the direction issued by the Commission to liquidate the outstanding dues of GRIDCO, it is to submit before the Hon'ble Commission that, the collection efficiency has been improved and so also the AT&amp;C loss. Some cash inflow has been </w:t>
      </w:r>
      <w:r w:rsidRPr="004507FC">
        <w:rPr>
          <w:rFonts w:ascii="Cambria" w:eastAsia="Times New Roman" w:hAnsi="Cambria" w:cs="Arial"/>
          <w:color w:val="000000"/>
          <w:sz w:val="24"/>
          <w:szCs w:val="24"/>
          <w:lang w:val="en-GB"/>
        </w:rPr>
        <w:lastRenderedPageBreak/>
        <w:t>generated after meeting monthly BSP dues, employees cost and operation and maintenance expenses. In the above circumstances, it is prayed before the Hon'ble Commission to give some time till improvement of financials to liquidate the arrears of GRIDCO .</w:t>
      </w:r>
    </w:p>
    <w:p w:rsidR="004507FC" w:rsidRDefault="004507FC" w:rsidP="004507FC">
      <w:pPr>
        <w:pStyle w:val="ListParagraph"/>
        <w:autoSpaceDE w:val="0"/>
        <w:autoSpaceDN w:val="0"/>
        <w:adjustRightInd w:val="0"/>
        <w:spacing w:line="360" w:lineRule="auto"/>
        <w:ind w:left="360"/>
        <w:jc w:val="both"/>
        <w:rPr>
          <w:rFonts w:ascii="Cambria" w:eastAsia="Times New Roman" w:hAnsi="Cambria" w:cs="Arial"/>
          <w:color w:val="000000"/>
          <w:sz w:val="24"/>
          <w:szCs w:val="24"/>
          <w:lang w:val="en-GB"/>
        </w:rPr>
      </w:pPr>
    </w:p>
    <w:p w:rsidR="004507FC" w:rsidRPr="004507FC" w:rsidRDefault="004507FC" w:rsidP="004507FC">
      <w:pPr>
        <w:pStyle w:val="ListParagraph"/>
        <w:autoSpaceDE w:val="0"/>
        <w:autoSpaceDN w:val="0"/>
        <w:adjustRightInd w:val="0"/>
        <w:spacing w:line="360" w:lineRule="auto"/>
        <w:ind w:left="360"/>
        <w:jc w:val="both"/>
        <w:rPr>
          <w:rFonts w:ascii="Cambria" w:eastAsia="Times New Roman" w:hAnsi="Cambria" w:cs="Arial"/>
          <w:color w:val="000000"/>
          <w:sz w:val="24"/>
          <w:szCs w:val="24"/>
          <w:lang w:val="en-GB"/>
        </w:rPr>
      </w:pPr>
      <w:r w:rsidRPr="004507FC">
        <w:rPr>
          <w:rFonts w:ascii="Cambria" w:eastAsia="Times New Roman" w:hAnsi="Cambria" w:cs="Arial"/>
          <w:b/>
          <w:color w:val="000000"/>
          <w:sz w:val="24"/>
          <w:szCs w:val="24"/>
          <w:lang w:val="en-GB"/>
        </w:rPr>
        <w:t>395.</w:t>
      </w:r>
      <w:r w:rsidRPr="004507FC">
        <w:rPr>
          <w:rFonts w:ascii="Cambria" w:eastAsia="Times New Roman" w:hAnsi="Cambria" w:cs="Arial"/>
          <w:color w:val="000000"/>
          <w:sz w:val="24"/>
          <w:szCs w:val="24"/>
          <w:lang w:val="en-GB"/>
        </w:rPr>
        <w:t xml:space="preserve"> The Commission in the last RST order directed to segregate their accounts for wheeling business and retail supply business in terms of Regulation 4.4 of OERC (Terms and Conditions for Determination of Wheeling Tariff and Retail Supply Tariff) Regulations, 2014. The Commission asked for compliance in this regard by the Licensee shall be submitted by 31st July 2018 however no compliance was submitted by any of the DISCOM Utilities. The Commission therefore again directs DISCOM Utilities to take necessary steps in order to segregate their accounts for wheeling business and retail supply business in terms of the said OERC Regulation. The compliance on this account must be furnished by 31st July 2019.</w:t>
      </w:r>
    </w:p>
    <w:p w:rsidR="004507FC" w:rsidRPr="004507FC" w:rsidRDefault="004507FC" w:rsidP="004507FC">
      <w:pPr>
        <w:pStyle w:val="ListParagraph"/>
        <w:autoSpaceDE w:val="0"/>
        <w:autoSpaceDN w:val="0"/>
        <w:adjustRightInd w:val="0"/>
        <w:spacing w:line="360" w:lineRule="auto"/>
        <w:ind w:left="360"/>
        <w:jc w:val="both"/>
        <w:rPr>
          <w:rFonts w:ascii="Cambria" w:eastAsia="Times New Roman" w:hAnsi="Cambria" w:cs="Arial"/>
          <w:b/>
          <w:i/>
          <w:color w:val="000000"/>
          <w:sz w:val="24"/>
          <w:szCs w:val="24"/>
          <w:lang w:val="en-GB"/>
        </w:rPr>
      </w:pPr>
      <w:r w:rsidRPr="004507FC">
        <w:rPr>
          <w:rFonts w:ascii="Cambria" w:eastAsia="Times New Roman" w:hAnsi="Cambria" w:cs="Arial"/>
          <w:b/>
          <w:i/>
          <w:color w:val="000000"/>
          <w:sz w:val="24"/>
          <w:szCs w:val="24"/>
          <w:lang w:val="en-GB"/>
        </w:rPr>
        <w:t>Compliance :</w:t>
      </w:r>
    </w:p>
    <w:p w:rsidR="004507FC" w:rsidRPr="004507FC" w:rsidRDefault="004507FC" w:rsidP="004507FC">
      <w:pPr>
        <w:pStyle w:val="ListParagraph"/>
        <w:autoSpaceDE w:val="0"/>
        <w:autoSpaceDN w:val="0"/>
        <w:adjustRightInd w:val="0"/>
        <w:spacing w:line="360" w:lineRule="auto"/>
        <w:ind w:left="360"/>
        <w:jc w:val="both"/>
        <w:rPr>
          <w:rFonts w:ascii="Cambria" w:eastAsia="Times New Roman" w:hAnsi="Cambria" w:cs="Arial"/>
          <w:color w:val="000000"/>
          <w:sz w:val="24"/>
          <w:szCs w:val="24"/>
          <w:lang w:val="en-GB"/>
        </w:rPr>
      </w:pPr>
      <w:r w:rsidRPr="004507FC">
        <w:rPr>
          <w:rFonts w:ascii="Cambria" w:eastAsia="Times New Roman" w:hAnsi="Cambria" w:cs="Arial"/>
          <w:color w:val="000000"/>
          <w:sz w:val="24"/>
          <w:szCs w:val="24"/>
          <w:lang w:val="en-GB"/>
        </w:rPr>
        <w:t>In compliance to the above , it is to submit that for segregation of account of utility, it is required to segregate the resources-the manpower and machineries with proper  identification to segregate the business. The Accounts could not be segregated  as segregation  of  manpower and Assets could not be made till date.</w:t>
      </w:r>
    </w:p>
    <w:p w:rsidR="00753C8E" w:rsidRPr="00003B49" w:rsidRDefault="00753C8E" w:rsidP="006935E2">
      <w:pPr>
        <w:pStyle w:val="Heading1"/>
        <w:numPr>
          <w:ilvl w:val="1"/>
          <w:numId w:val="10"/>
        </w:numPr>
        <w:spacing w:line="360" w:lineRule="auto"/>
        <w:jc w:val="both"/>
        <w:rPr>
          <w:rFonts w:ascii="Cambria" w:hAnsi="Cambria"/>
          <w:bCs w:val="0"/>
          <w:kern w:val="0"/>
          <w:sz w:val="24"/>
          <w:szCs w:val="24"/>
        </w:rPr>
      </w:pPr>
      <w:bookmarkStart w:id="70" w:name="_Toc25850956"/>
      <w:r w:rsidRPr="00003B49">
        <w:rPr>
          <w:rFonts w:ascii="Cambria" w:hAnsi="Cambria"/>
          <w:bCs w:val="0"/>
          <w:kern w:val="0"/>
          <w:sz w:val="24"/>
          <w:szCs w:val="24"/>
        </w:rPr>
        <w:t>Various Payment Options</w:t>
      </w:r>
      <w:bookmarkEnd w:id="70"/>
    </w:p>
    <w:p w:rsidR="00002460" w:rsidRPr="00003B49" w:rsidRDefault="00045C4A" w:rsidP="00002460">
      <w:pPr>
        <w:pStyle w:val="ListParagraph"/>
        <w:spacing w:line="360" w:lineRule="auto"/>
        <w:jc w:val="both"/>
        <w:rPr>
          <w:rFonts w:ascii="Cambria" w:eastAsia="Times New Roman" w:hAnsi="Cambria" w:cs="Arial"/>
          <w:sz w:val="24"/>
          <w:szCs w:val="24"/>
        </w:rPr>
      </w:pPr>
      <w:r>
        <w:rPr>
          <w:rFonts w:ascii="Cambria" w:eastAsia="Times New Roman" w:hAnsi="Cambria" w:cs="Arial"/>
          <w:sz w:val="24"/>
          <w:szCs w:val="24"/>
        </w:rPr>
        <w:t>In addition to providing rebate for digital payment to LT domestic category of consumers, t</w:t>
      </w:r>
      <w:r w:rsidR="00002460" w:rsidRPr="00003B49">
        <w:rPr>
          <w:rFonts w:ascii="Cambria" w:eastAsia="Times New Roman" w:hAnsi="Cambria" w:cs="Arial"/>
          <w:sz w:val="24"/>
          <w:szCs w:val="24"/>
        </w:rPr>
        <w:t xml:space="preserve">o improve the reach to the consumers, </w:t>
      </w:r>
      <w:r>
        <w:rPr>
          <w:rFonts w:ascii="Cambria" w:eastAsia="Times New Roman" w:hAnsi="Cambria" w:cs="Arial"/>
          <w:sz w:val="24"/>
          <w:szCs w:val="24"/>
        </w:rPr>
        <w:t xml:space="preserve">the utility </w:t>
      </w:r>
      <w:r w:rsidR="00002460" w:rsidRPr="00003B49">
        <w:rPr>
          <w:rFonts w:ascii="Cambria" w:eastAsia="Times New Roman" w:hAnsi="Cambria" w:cs="Arial"/>
          <w:sz w:val="24"/>
          <w:szCs w:val="24"/>
        </w:rPr>
        <w:t>ha</w:t>
      </w:r>
      <w:r>
        <w:rPr>
          <w:rFonts w:ascii="Cambria" w:eastAsia="Times New Roman" w:hAnsi="Cambria" w:cs="Arial"/>
          <w:sz w:val="24"/>
          <w:szCs w:val="24"/>
        </w:rPr>
        <w:t>s</w:t>
      </w:r>
      <w:r w:rsidR="00002460" w:rsidRPr="00003B49">
        <w:rPr>
          <w:rFonts w:ascii="Cambria" w:eastAsia="Times New Roman" w:hAnsi="Cambria" w:cs="Arial"/>
          <w:sz w:val="24"/>
          <w:szCs w:val="24"/>
        </w:rPr>
        <w:t xml:space="preserve"> engaged various service providers for easy payment option to the consumers for payment of Energy Bills through offline/online mode which would enhance the overall collection efficiency.  The purpose of such engagement of the service providers is to accelerate the revenue collection by providing the services at the door step of the consumers for any time payment of their Bills and to reduce the door to door collection by the Company.</w:t>
      </w:r>
    </w:p>
    <w:p w:rsidR="00002460" w:rsidRPr="00003B49" w:rsidRDefault="00002460" w:rsidP="00002460">
      <w:pPr>
        <w:pStyle w:val="ListParagraph"/>
        <w:jc w:val="both"/>
        <w:rPr>
          <w:rFonts w:ascii="Cambria" w:eastAsia="Times New Roman" w:hAnsi="Cambria" w:cs="Arial"/>
          <w:sz w:val="24"/>
          <w:szCs w:val="24"/>
        </w:rPr>
      </w:pPr>
      <w:r w:rsidRPr="00003B49">
        <w:rPr>
          <w:rFonts w:ascii="Cambria" w:eastAsia="Times New Roman" w:hAnsi="Cambria" w:cs="Arial"/>
          <w:sz w:val="24"/>
          <w:szCs w:val="24"/>
        </w:rPr>
        <w:t xml:space="preserve">Following service providers assigned with the responsibilities for collection of Electricity bills. </w:t>
      </w:r>
    </w:p>
    <w:p w:rsidR="00002460" w:rsidRPr="00003B49" w:rsidRDefault="00002460" w:rsidP="006935E2">
      <w:pPr>
        <w:pStyle w:val="ListParagraph"/>
        <w:numPr>
          <w:ilvl w:val="0"/>
          <w:numId w:val="11"/>
        </w:numPr>
        <w:jc w:val="both"/>
        <w:rPr>
          <w:rFonts w:ascii="Cambria" w:eastAsia="Times New Roman" w:hAnsi="Cambria" w:cs="Arial"/>
          <w:sz w:val="24"/>
          <w:szCs w:val="24"/>
        </w:rPr>
      </w:pPr>
      <w:r w:rsidRPr="00003B49">
        <w:rPr>
          <w:rFonts w:ascii="Cambria" w:eastAsia="Times New Roman" w:hAnsi="Cambria" w:cs="Arial"/>
          <w:b/>
          <w:sz w:val="24"/>
          <w:szCs w:val="24"/>
        </w:rPr>
        <w:t>Post Offices</w:t>
      </w:r>
      <w:r w:rsidRPr="00003B49">
        <w:rPr>
          <w:rFonts w:ascii="Cambria" w:eastAsia="Times New Roman" w:hAnsi="Cambria" w:cs="Arial"/>
          <w:sz w:val="24"/>
          <w:szCs w:val="24"/>
        </w:rPr>
        <w:t>- Collection of cash through Post Offices.</w:t>
      </w:r>
    </w:p>
    <w:p w:rsidR="00002460" w:rsidRPr="00003B49" w:rsidRDefault="00002460" w:rsidP="006935E2">
      <w:pPr>
        <w:pStyle w:val="ListParagraph"/>
        <w:numPr>
          <w:ilvl w:val="0"/>
          <w:numId w:val="11"/>
        </w:numPr>
        <w:jc w:val="both"/>
        <w:rPr>
          <w:rFonts w:ascii="Cambria" w:eastAsia="Times New Roman" w:hAnsi="Cambria" w:cs="Arial"/>
          <w:sz w:val="24"/>
          <w:szCs w:val="24"/>
        </w:rPr>
      </w:pPr>
      <w:r w:rsidRPr="00003B49">
        <w:rPr>
          <w:rFonts w:ascii="Cambria" w:eastAsia="Times New Roman" w:hAnsi="Cambria" w:cs="Arial"/>
          <w:b/>
          <w:sz w:val="24"/>
          <w:szCs w:val="24"/>
        </w:rPr>
        <w:t>CSC e-Governance Services India Limited</w:t>
      </w:r>
      <w:r w:rsidRPr="00003B49">
        <w:rPr>
          <w:rFonts w:ascii="Cambria" w:eastAsia="Times New Roman" w:hAnsi="Cambria" w:cs="Arial"/>
          <w:sz w:val="24"/>
          <w:szCs w:val="24"/>
        </w:rPr>
        <w:t>- Collection of Electricity Bills through CSCs / VLEs.</w:t>
      </w:r>
    </w:p>
    <w:p w:rsidR="00002460" w:rsidRPr="00003B49" w:rsidRDefault="00002460" w:rsidP="006935E2">
      <w:pPr>
        <w:pStyle w:val="ListParagraph"/>
        <w:numPr>
          <w:ilvl w:val="0"/>
          <w:numId w:val="11"/>
        </w:numPr>
        <w:jc w:val="both"/>
        <w:rPr>
          <w:rFonts w:ascii="Cambria" w:eastAsia="Times New Roman" w:hAnsi="Cambria" w:cs="Arial"/>
          <w:sz w:val="24"/>
          <w:szCs w:val="24"/>
        </w:rPr>
      </w:pPr>
      <w:r w:rsidRPr="00003B49">
        <w:rPr>
          <w:rFonts w:ascii="Cambria" w:eastAsia="Times New Roman" w:hAnsi="Cambria" w:cs="Arial"/>
          <w:b/>
          <w:sz w:val="24"/>
          <w:szCs w:val="24"/>
        </w:rPr>
        <w:lastRenderedPageBreak/>
        <w:t>ICICI Bank</w:t>
      </w:r>
      <w:r w:rsidRPr="00003B49">
        <w:rPr>
          <w:rFonts w:ascii="Cambria" w:eastAsia="Times New Roman" w:hAnsi="Cambria" w:cs="Arial"/>
          <w:sz w:val="24"/>
          <w:szCs w:val="24"/>
        </w:rPr>
        <w:t>- Through Debit / Credit card and Net Banking Services.</w:t>
      </w:r>
    </w:p>
    <w:p w:rsidR="00002460" w:rsidRDefault="00002460" w:rsidP="006935E2">
      <w:pPr>
        <w:pStyle w:val="ListParagraph"/>
        <w:numPr>
          <w:ilvl w:val="0"/>
          <w:numId w:val="11"/>
        </w:numPr>
        <w:jc w:val="both"/>
        <w:rPr>
          <w:rFonts w:ascii="Cambria" w:eastAsia="Times New Roman" w:hAnsi="Cambria" w:cs="Arial"/>
          <w:sz w:val="24"/>
          <w:szCs w:val="24"/>
        </w:rPr>
      </w:pPr>
      <w:r w:rsidRPr="00003B49">
        <w:rPr>
          <w:rFonts w:ascii="Cambria" w:eastAsia="Times New Roman" w:hAnsi="Cambria" w:cs="Arial"/>
          <w:b/>
          <w:sz w:val="24"/>
          <w:szCs w:val="24"/>
        </w:rPr>
        <w:t>Atom Technology</w:t>
      </w:r>
      <w:r w:rsidRPr="00003B49">
        <w:rPr>
          <w:rFonts w:ascii="Cambria" w:eastAsia="Times New Roman" w:hAnsi="Cambria" w:cs="Arial"/>
          <w:sz w:val="24"/>
          <w:szCs w:val="24"/>
        </w:rPr>
        <w:t>- Payment Gateway (PG) Services , through Debit / Credit card and Net Banking Services (28 Banks including SBI, UBI, Indian Bank, HDFC Bank)</w:t>
      </w:r>
    </w:p>
    <w:p w:rsidR="00EE49ED" w:rsidRPr="00003B49" w:rsidRDefault="00EE49ED" w:rsidP="006935E2">
      <w:pPr>
        <w:pStyle w:val="ListParagraph"/>
        <w:numPr>
          <w:ilvl w:val="0"/>
          <w:numId w:val="11"/>
        </w:numPr>
        <w:jc w:val="both"/>
        <w:rPr>
          <w:rFonts w:ascii="Cambria" w:eastAsia="Times New Roman" w:hAnsi="Cambria" w:cs="Arial"/>
          <w:sz w:val="24"/>
          <w:szCs w:val="24"/>
        </w:rPr>
      </w:pPr>
      <w:r>
        <w:rPr>
          <w:rFonts w:ascii="Cambria" w:eastAsia="Times New Roman" w:hAnsi="Cambria" w:cs="Arial"/>
          <w:b/>
          <w:sz w:val="24"/>
          <w:szCs w:val="24"/>
        </w:rPr>
        <w:t>PayTM</w:t>
      </w:r>
    </w:p>
    <w:p w:rsidR="00002460" w:rsidRPr="00003B49" w:rsidRDefault="00002460" w:rsidP="006935E2">
      <w:pPr>
        <w:pStyle w:val="ListParagraph"/>
        <w:numPr>
          <w:ilvl w:val="0"/>
          <w:numId w:val="11"/>
        </w:numPr>
        <w:jc w:val="both"/>
        <w:rPr>
          <w:rFonts w:ascii="Cambria" w:eastAsia="Times New Roman" w:hAnsi="Cambria" w:cs="Arial"/>
          <w:b/>
          <w:sz w:val="24"/>
          <w:szCs w:val="24"/>
        </w:rPr>
      </w:pPr>
      <w:r w:rsidRPr="00003B49">
        <w:rPr>
          <w:rFonts w:ascii="Cambria" w:eastAsia="Times New Roman" w:hAnsi="Cambria" w:cs="Arial"/>
          <w:b/>
          <w:sz w:val="24"/>
          <w:szCs w:val="24"/>
        </w:rPr>
        <w:t>Billdesk</w:t>
      </w:r>
    </w:p>
    <w:p w:rsidR="00002460" w:rsidRPr="00003B49" w:rsidRDefault="00002460" w:rsidP="006935E2">
      <w:pPr>
        <w:pStyle w:val="ListParagraph"/>
        <w:numPr>
          <w:ilvl w:val="0"/>
          <w:numId w:val="12"/>
        </w:numPr>
        <w:jc w:val="both"/>
        <w:rPr>
          <w:rFonts w:ascii="Cambria" w:eastAsia="Times New Roman" w:hAnsi="Cambria" w:cs="Arial"/>
          <w:sz w:val="24"/>
          <w:szCs w:val="24"/>
        </w:rPr>
      </w:pPr>
      <w:r w:rsidRPr="00003B49">
        <w:rPr>
          <w:rFonts w:ascii="Cambria" w:eastAsia="Times New Roman" w:hAnsi="Cambria" w:cs="Arial"/>
          <w:sz w:val="24"/>
          <w:szCs w:val="24"/>
        </w:rPr>
        <w:t>Payment Gateway (PG) Services , through Debit / Credit card and Net Banking Services (50 Banks including SBI, UBI, Indian Bank, HDFC Bank)</w:t>
      </w:r>
    </w:p>
    <w:p w:rsidR="00002460" w:rsidRPr="00003B49" w:rsidRDefault="00002460" w:rsidP="006935E2">
      <w:pPr>
        <w:pStyle w:val="ListParagraph"/>
        <w:numPr>
          <w:ilvl w:val="0"/>
          <w:numId w:val="12"/>
        </w:numPr>
        <w:jc w:val="both"/>
        <w:rPr>
          <w:rFonts w:ascii="Cambria" w:eastAsia="Times New Roman" w:hAnsi="Cambria" w:cs="Arial"/>
          <w:sz w:val="24"/>
          <w:szCs w:val="24"/>
        </w:rPr>
      </w:pPr>
      <w:r w:rsidRPr="00003B49">
        <w:rPr>
          <w:rFonts w:ascii="Cambria" w:eastAsia="Times New Roman" w:hAnsi="Cambria" w:cs="Arial"/>
          <w:b/>
          <w:sz w:val="24"/>
          <w:szCs w:val="24"/>
        </w:rPr>
        <w:t>EBPP Services</w:t>
      </w:r>
      <w:r w:rsidRPr="00003B49">
        <w:rPr>
          <w:rFonts w:ascii="Cambria" w:eastAsia="Times New Roman" w:hAnsi="Cambria" w:cs="Arial"/>
          <w:sz w:val="24"/>
          <w:szCs w:val="24"/>
        </w:rPr>
        <w:t>- Through Airtel  Money &amp; Voda</w:t>
      </w:r>
      <w:r w:rsidR="006F6D06">
        <w:rPr>
          <w:rFonts w:ascii="Cambria" w:eastAsia="Times New Roman" w:hAnsi="Cambria" w:cs="Arial"/>
          <w:sz w:val="24"/>
          <w:szCs w:val="24"/>
        </w:rPr>
        <w:t>-</w:t>
      </w:r>
      <w:r w:rsidRPr="00003B49">
        <w:rPr>
          <w:rFonts w:ascii="Cambria" w:eastAsia="Times New Roman" w:hAnsi="Cambria" w:cs="Arial"/>
          <w:sz w:val="24"/>
          <w:szCs w:val="24"/>
        </w:rPr>
        <w:t>phone m-paisa</w:t>
      </w:r>
    </w:p>
    <w:p w:rsidR="001B3416" w:rsidRDefault="001B3416" w:rsidP="00002460">
      <w:pPr>
        <w:pStyle w:val="ListParagraph"/>
        <w:jc w:val="both"/>
        <w:rPr>
          <w:rFonts w:ascii="Cambria" w:eastAsia="Times New Roman" w:hAnsi="Cambria" w:cs="Arial"/>
          <w:sz w:val="24"/>
          <w:szCs w:val="24"/>
        </w:rPr>
      </w:pPr>
    </w:p>
    <w:p w:rsidR="00002460" w:rsidRPr="00EE49ED" w:rsidRDefault="00D20D58" w:rsidP="00002460">
      <w:pPr>
        <w:pStyle w:val="ListParagraph"/>
        <w:jc w:val="both"/>
        <w:rPr>
          <w:rFonts w:ascii="Cambria" w:eastAsia="Times New Roman" w:hAnsi="Cambria" w:cs="Arial"/>
          <w:sz w:val="24"/>
          <w:szCs w:val="24"/>
        </w:rPr>
      </w:pPr>
      <w:r w:rsidRPr="00EE49ED">
        <w:rPr>
          <w:rFonts w:ascii="Cambria" w:eastAsia="Times New Roman" w:hAnsi="Cambria" w:cs="Arial"/>
          <w:sz w:val="24"/>
          <w:szCs w:val="24"/>
        </w:rPr>
        <w:t>The monthly collection through the above</w:t>
      </w:r>
      <w:r w:rsidR="00045C4A" w:rsidRPr="00EE49ED">
        <w:rPr>
          <w:rFonts w:ascii="Cambria" w:eastAsia="Times New Roman" w:hAnsi="Cambria" w:cs="Arial"/>
          <w:sz w:val="24"/>
          <w:szCs w:val="24"/>
        </w:rPr>
        <w:t xml:space="preserve"> online mechanism is around Rs.</w:t>
      </w:r>
      <w:r w:rsidR="00EE49ED">
        <w:rPr>
          <w:rFonts w:ascii="Cambria" w:eastAsia="Times New Roman" w:hAnsi="Cambria" w:cs="Arial"/>
          <w:sz w:val="24"/>
          <w:szCs w:val="24"/>
        </w:rPr>
        <w:t xml:space="preserve">523.07 </w:t>
      </w:r>
      <w:r w:rsidRPr="00EE49ED">
        <w:rPr>
          <w:rFonts w:ascii="Cambria" w:eastAsia="Times New Roman" w:hAnsi="Cambria" w:cs="Arial"/>
          <w:sz w:val="24"/>
          <w:szCs w:val="24"/>
        </w:rPr>
        <w:t>lakh.</w:t>
      </w:r>
    </w:p>
    <w:p w:rsidR="001B3416" w:rsidRPr="002F4A48" w:rsidRDefault="001B3416" w:rsidP="00002460">
      <w:pPr>
        <w:pStyle w:val="ListParagraph"/>
        <w:jc w:val="both"/>
        <w:rPr>
          <w:rFonts w:ascii="Cambria" w:eastAsia="Times New Roman" w:hAnsi="Cambria" w:cs="Arial"/>
          <w:sz w:val="24"/>
          <w:szCs w:val="24"/>
          <w:highlight w:val="yellow"/>
        </w:rPr>
      </w:pPr>
    </w:p>
    <w:tbl>
      <w:tblPr>
        <w:tblStyle w:val="TableGrid"/>
        <w:tblW w:w="0" w:type="auto"/>
        <w:tblInd w:w="1784" w:type="dxa"/>
        <w:tblLook w:val="04A0"/>
      </w:tblPr>
      <w:tblGrid>
        <w:gridCol w:w="2252"/>
        <w:gridCol w:w="2912"/>
      </w:tblGrid>
      <w:tr w:rsidR="00D20D58" w:rsidRPr="00EE49ED" w:rsidTr="000D6FB5">
        <w:trPr>
          <w:trHeight w:val="57"/>
        </w:trPr>
        <w:tc>
          <w:tcPr>
            <w:tcW w:w="0" w:type="auto"/>
          </w:tcPr>
          <w:p w:rsidR="00D20D58" w:rsidRPr="00EE49ED" w:rsidRDefault="00D20D58" w:rsidP="00FB71EA">
            <w:pPr>
              <w:pStyle w:val="ListParagraph"/>
              <w:spacing w:line="240" w:lineRule="auto"/>
              <w:ind w:left="0"/>
              <w:jc w:val="both"/>
              <w:rPr>
                <w:rFonts w:ascii="Cambria" w:eastAsia="Times New Roman" w:hAnsi="Cambria" w:cs="Arial"/>
                <w:sz w:val="24"/>
                <w:szCs w:val="24"/>
              </w:rPr>
            </w:pPr>
            <w:r w:rsidRPr="00EE49ED">
              <w:rPr>
                <w:rFonts w:ascii="Cambria" w:eastAsia="Times New Roman" w:hAnsi="Cambria" w:cs="Arial"/>
                <w:sz w:val="24"/>
                <w:szCs w:val="24"/>
              </w:rPr>
              <w:t>Collection through</w:t>
            </w:r>
          </w:p>
        </w:tc>
        <w:tc>
          <w:tcPr>
            <w:tcW w:w="0" w:type="auto"/>
          </w:tcPr>
          <w:p w:rsidR="00D20D58" w:rsidRPr="00EE49ED" w:rsidRDefault="00D20D58" w:rsidP="00FB71EA">
            <w:pPr>
              <w:pStyle w:val="ListParagraph"/>
              <w:spacing w:line="240" w:lineRule="auto"/>
              <w:ind w:left="0"/>
              <w:jc w:val="both"/>
              <w:rPr>
                <w:rFonts w:ascii="Cambria" w:eastAsia="Times New Roman" w:hAnsi="Cambria" w:cs="Arial"/>
                <w:sz w:val="24"/>
                <w:szCs w:val="24"/>
              </w:rPr>
            </w:pPr>
            <w:r w:rsidRPr="00EE49ED">
              <w:rPr>
                <w:rFonts w:ascii="Cambria" w:eastAsia="Times New Roman" w:hAnsi="Cambria" w:cs="Arial"/>
                <w:sz w:val="24"/>
                <w:szCs w:val="24"/>
              </w:rPr>
              <w:t>Monthly average (Rs.lakh)</w:t>
            </w:r>
          </w:p>
        </w:tc>
      </w:tr>
      <w:tr w:rsidR="00D20D58" w:rsidRPr="00EE49ED" w:rsidTr="000D6FB5">
        <w:trPr>
          <w:trHeight w:val="57"/>
        </w:trPr>
        <w:tc>
          <w:tcPr>
            <w:tcW w:w="0" w:type="auto"/>
          </w:tcPr>
          <w:p w:rsidR="00D20D58" w:rsidRPr="00EE49ED" w:rsidRDefault="00D20D58" w:rsidP="00FB71EA">
            <w:pPr>
              <w:pStyle w:val="ListParagraph"/>
              <w:spacing w:line="240" w:lineRule="auto"/>
              <w:ind w:left="0"/>
              <w:jc w:val="both"/>
              <w:rPr>
                <w:rFonts w:ascii="Cambria" w:eastAsia="Times New Roman" w:hAnsi="Cambria" w:cs="Arial"/>
                <w:sz w:val="24"/>
                <w:szCs w:val="24"/>
              </w:rPr>
            </w:pPr>
            <w:r w:rsidRPr="00EE49ED">
              <w:rPr>
                <w:rFonts w:ascii="Cambria" w:eastAsia="Times New Roman" w:hAnsi="Cambria" w:cs="Arial"/>
                <w:sz w:val="24"/>
                <w:szCs w:val="24"/>
              </w:rPr>
              <w:t>Post Offices</w:t>
            </w:r>
          </w:p>
        </w:tc>
        <w:tc>
          <w:tcPr>
            <w:tcW w:w="0" w:type="auto"/>
          </w:tcPr>
          <w:p w:rsidR="00D20D58" w:rsidRPr="00EE49ED" w:rsidRDefault="00EE49ED" w:rsidP="00FB71EA">
            <w:pPr>
              <w:pStyle w:val="ListParagraph"/>
              <w:spacing w:line="240" w:lineRule="auto"/>
              <w:ind w:left="0"/>
              <w:jc w:val="center"/>
              <w:rPr>
                <w:rFonts w:ascii="Cambria" w:eastAsia="Times New Roman" w:hAnsi="Cambria" w:cs="Arial"/>
                <w:sz w:val="24"/>
                <w:szCs w:val="24"/>
              </w:rPr>
            </w:pPr>
            <w:r>
              <w:rPr>
                <w:rFonts w:ascii="Cambria" w:eastAsia="Times New Roman" w:hAnsi="Cambria" w:cs="Arial"/>
                <w:sz w:val="24"/>
                <w:szCs w:val="24"/>
              </w:rPr>
              <w:t>0.12</w:t>
            </w:r>
          </w:p>
        </w:tc>
      </w:tr>
      <w:tr w:rsidR="00D20D58" w:rsidRPr="00EE49ED" w:rsidTr="000D6FB5">
        <w:trPr>
          <w:trHeight w:val="57"/>
        </w:trPr>
        <w:tc>
          <w:tcPr>
            <w:tcW w:w="0" w:type="auto"/>
          </w:tcPr>
          <w:p w:rsidR="00D20D58" w:rsidRPr="00EE49ED" w:rsidRDefault="00D20D58" w:rsidP="000508B6">
            <w:pPr>
              <w:pStyle w:val="ListParagraph"/>
              <w:spacing w:line="240" w:lineRule="auto"/>
              <w:ind w:left="0"/>
              <w:jc w:val="both"/>
              <w:rPr>
                <w:rFonts w:ascii="Cambria" w:eastAsia="Times New Roman" w:hAnsi="Cambria" w:cs="Arial"/>
                <w:sz w:val="24"/>
                <w:szCs w:val="24"/>
              </w:rPr>
            </w:pPr>
            <w:r w:rsidRPr="00EE49ED">
              <w:rPr>
                <w:rFonts w:ascii="Cambria" w:eastAsia="Times New Roman" w:hAnsi="Cambria" w:cs="Arial"/>
                <w:sz w:val="24"/>
                <w:szCs w:val="24"/>
              </w:rPr>
              <w:t>Billdesk, EBPP</w:t>
            </w:r>
            <w:r w:rsidR="000508B6" w:rsidRPr="00EE49ED">
              <w:rPr>
                <w:rFonts w:ascii="Cambria" w:eastAsia="Times New Roman" w:hAnsi="Cambria" w:cs="Arial"/>
                <w:sz w:val="24"/>
                <w:szCs w:val="24"/>
              </w:rPr>
              <w:t xml:space="preserve"> &amp; PG</w:t>
            </w:r>
          </w:p>
        </w:tc>
        <w:tc>
          <w:tcPr>
            <w:tcW w:w="0" w:type="auto"/>
          </w:tcPr>
          <w:p w:rsidR="00D20D58" w:rsidRPr="00EE49ED" w:rsidRDefault="00EE49ED" w:rsidP="00FB71EA">
            <w:pPr>
              <w:pStyle w:val="ListParagraph"/>
              <w:spacing w:line="240" w:lineRule="auto"/>
              <w:ind w:left="0"/>
              <w:jc w:val="center"/>
              <w:rPr>
                <w:rFonts w:ascii="Cambria" w:eastAsia="Times New Roman" w:hAnsi="Cambria" w:cs="Arial"/>
                <w:sz w:val="24"/>
                <w:szCs w:val="24"/>
              </w:rPr>
            </w:pPr>
            <w:r>
              <w:rPr>
                <w:rFonts w:ascii="Cambria" w:eastAsia="Times New Roman" w:hAnsi="Cambria" w:cs="Arial"/>
                <w:sz w:val="24"/>
                <w:szCs w:val="24"/>
              </w:rPr>
              <w:t>258.81</w:t>
            </w:r>
          </w:p>
        </w:tc>
      </w:tr>
      <w:tr w:rsidR="000508B6" w:rsidRPr="00EE49ED" w:rsidTr="000D6FB5">
        <w:trPr>
          <w:trHeight w:val="57"/>
        </w:trPr>
        <w:tc>
          <w:tcPr>
            <w:tcW w:w="0" w:type="auto"/>
          </w:tcPr>
          <w:p w:rsidR="000508B6" w:rsidRPr="00EE49ED" w:rsidRDefault="00EE49ED" w:rsidP="000508B6">
            <w:pPr>
              <w:pStyle w:val="ListParagraph"/>
              <w:spacing w:line="240" w:lineRule="auto"/>
              <w:ind w:left="0"/>
              <w:jc w:val="both"/>
              <w:rPr>
                <w:rFonts w:ascii="Cambria" w:eastAsia="Times New Roman" w:hAnsi="Cambria" w:cs="Arial"/>
                <w:sz w:val="24"/>
                <w:szCs w:val="24"/>
              </w:rPr>
            </w:pPr>
            <w:r>
              <w:rPr>
                <w:rFonts w:ascii="Cambria" w:eastAsia="Times New Roman" w:hAnsi="Cambria" w:cs="Arial"/>
                <w:sz w:val="24"/>
                <w:szCs w:val="24"/>
              </w:rPr>
              <w:t>Ezetap</w:t>
            </w:r>
          </w:p>
        </w:tc>
        <w:tc>
          <w:tcPr>
            <w:tcW w:w="0" w:type="auto"/>
          </w:tcPr>
          <w:p w:rsidR="000508B6" w:rsidRPr="00EE49ED" w:rsidRDefault="00EE49ED" w:rsidP="00FB71EA">
            <w:pPr>
              <w:pStyle w:val="ListParagraph"/>
              <w:spacing w:line="240" w:lineRule="auto"/>
              <w:ind w:left="0"/>
              <w:jc w:val="center"/>
              <w:rPr>
                <w:rFonts w:ascii="Cambria" w:eastAsia="Times New Roman" w:hAnsi="Cambria" w:cs="Arial"/>
                <w:sz w:val="24"/>
                <w:szCs w:val="24"/>
              </w:rPr>
            </w:pPr>
            <w:r>
              <w:rPr>
                <w:rFonts w:ascii="Cambria" w:eastAsia="Times New Roman" w:hAnsi="Cambria" w:cs="Arial"/>
                <w:sz w:val="24"/>
                <w:szCs w:val="24"/>
              </w:rPr>
              <w:t>104.85</w:t>
            </w:r>
          </w:p>
        </w:tc>
      </w:tr>
      <w:tr w:rsidR="00D20D58" w:rsidRPr="00EE49ED" w:rsidTr="000D6FB5">
        <w:trPr>
          <w:trHeight w:val="57"/>
        </w:trPr>
        <w:tc>
          <w:tcPr>
            <w:tcW w:w="0" w:type="auto"/>
          </w:tcPr>
          <w:p w:rsidR="00D20D58" w:rsidRPr="00EE49ED" w:rsidRDefault="00D20D58" w:rsidP="00FB71EA">
            <w:pPr>
              <w:pStyle w:val="ListParagraph"/>
              <w:spacing w:line="240" w:lineRule="auto"/>
              <w:ind w:left="0"/>
              <w:jc w:val="both"/>
              <w:rPr>
                <w:rFonts w:ascii="Cambria" w:eastAsia="Times New Roman" w:hAnsi="Cambria" w:cs="Arial"/>
                <w:sz w:val="24"/>
                <w:szCs w:val="24"/>
              </w:rPr>
            </w:pPr>
            <w:r w:rsidRPr="00EE49ED">
              <w:rPr>
                <w:rFonts w:ascii="Cambria" w:eastAsia="Times New Roman" w:hAnsi="Cambria" w:cs="Arial"/>
                <w:sz w:val="24"/>
                <w:szCs w:val="24"/>
              </w:rPr>
              <w:t>ATOM</w:t>
            </w:r>
          </w:p>
        </w:tc>
        <w:tc>
          <w:tcPr>
            <w:tcW w:w="0" w:type="auto"/>
          </w:tcPr>
          <w:p w:rsidR="00D20D58" w:rsidRPr="00EE49ED" w:rsidRDefault="00EE49ED" w:rsidP="00FB71EA">
            <w:pPr>
              <w:pStyle w:val="ListParagraph"/>
              <w:spacing w:line="240" w:lineRule="auto"/>
              <w:ind w:left="0"/>
              <w:jc w:val="center"/>
              <w:rPr>
                <w:rFonts w:ascii="Cambria" w:eastAsia="Times New Roman" w:hAnsi="Cambria" w:cs="Arial"/>
                <w:sz w:val="24"/>
                <w:szCs w:val="24"/>
              </w:rPr>
            </w:pPr>
            <w:r>
              <w:rPr>
                <w:rFonts w:ascii="Cambria" w:eastAsia="Times New Roman" w:hAnsi="Cambria" w:cs="Arial"/>
                <w:sz w:val="24"/>
                <w:szCs w:val="24"/>
              </w:rPr>
              <w:t>8.91</w:t>
            </w:r>
          </w:p>
        </w:tc>
      </w:tr>
      <w:tr w:rsidR="00D20D58" w:rsidRPr="00EE49ED" w:rsidTr="000D6FB5">
        <w:trPr>
          <w:trHeight w:val="57"/>
        </w:trPr>
        <w:tc>
          <w:tcPr>
            <w:tcW w:w="0" w:type="auto"/>
          </w:tcPr>
          <w:p w:rsidR="00D20D58" w:rsidRPr="00EE49ED" w:rsidRDefault="000D6FB5" w:rsidP="001B3416">
            <w:pPr>
              <w:pStyle w:val="ListParagraph"/>
              <w:spacing w:line="240" w:lineRule="auto"/>
              <w:ind w:left="0"/>
              <w:jc w:val="both"/>
              <w:rPr>
                <w:rFonts w:ascii="Cambria" w:eastAsia="Times New Roman" w:hAnsi="Cambria" w:cs="Arial"/>
                <w:sz w:val="24"/>
                <w:szCs w:val="24"/>
              </w:rPr>
            </w:pPr>
            <w:r w:rsidRPr="00EE49ED">
              <w:rPr>
                <w:rFonts w:ascii="Cambria" w:eastAsia="Times New Roman" w:hAnsi="Cambria" w:cs="Arial"/>
                <w:sz w:val="24"/>
                <w:szCs w:val="24"/>
              </w:rPr>
              <w:t xml:space="preserve">ICICI </w:t>
            </w:r>
            <w:r w:rsidR="00045C4A" w:rsidRPr="00EE49ED">
              <w:rPr>
                <w:rFonts w:ascii="Cambria" w:eastAsia="Times New Roman" w:hAnsi="Cambria" w:cs="Arial"/>
                <w:sz w:val="24"/>
                <w:szCs w:val="24"/>
              </w:rPr>
              <w:t xml:space="preserve"> Bank</w:t>
            </w:r>
          </w:p>
        </w:tc>
        <w:tc>
          <w:tcPr>
            <w:tcW w:w="0" w:type="auto"/>
          </w:tcPr>
          <w:p w:rsidR="00D20D58" w:rsidRPr="00EE49ED" w:rsidRDefault="00EE49ED" w:rsidP="00EE49ED">
            <w:pPr>
              <w:pStyle w:val="ListParagraph"/>
              <w:spacing w:line="240" w:lineRule="auto"/>
              <w:ind w:left="0"/>
              <w:jc w:val="center"/>
              <w:rPr>
                <w:rFonts w:ascii="Cambria" w:eastAsia="Times New Roman" w:hAnsi="Cambria" w:cs="Arial"/>
                <w:sz w:val="24"/>
                <w:szCs w:val="24"/>
              </w:rPr>
            </w:pPr>
            <w:r>
              <w:rPr>
                <w:rFonts w:ascii="Cambria" w:eastAsia="Times New Roman" w:hAnsi="Cambria" w:cs="Arial"/>
                <w:sz w:val="24"/>
                <w:szCs w:val="24"/>
              </w:rPr>
              <w:t>5.06</w:t>
            </w:r>
          </w:p>
        </w:tc>
      </w:tr>
      <w:tr w:rsidR="00D20D58" w:rsidRPr="00EE49ED" w:rsidTr="000D6FB5">
        <w:trPr>
          <w:trHeight w:val="57"/>
        </w:trPr>
        <w:tc>
          <w:tcPr>
            <w:tcW w:w="0" w:type="auto"/>
          </w:tcPr>
          <w:p w:rsidR="00D20D58" w:rsidRPr="00EE49ED" w:rsidRDefault="00D20D58" w:rsidP="00FB71EA">
            <w:pPr>
              <w:pStyle w:val="ListParagraph"/>
              <w:spacing w:line="240" w:lineRule="auto"/>
              <w:ind w:left="0"/>
              <w:jc w:val="both"/>
              <w:rPr>
                <w:rFonts w:ascii="Cambria" w:eastAsia="Times New Roman" w:hAnsi="Cambria" w:cs="Arial"/>
                <w:sz w:val="24"/>
                <w:szCs w:val="24"/>
              </w:rPr>
            </w:pPr>
            <w:r w:rsidRPr="00EE49ED">
              <w:rPr>
                <w:rFonts w:ascii="Cambria" w:eastAsia="Times New Roman" w:hAnsi="Cambria" w:cs="Arial"/>
                <w:sz w:val="24"/>
                <w:szCs w:val="24"/>
              </w:rPr>
              <w:t>CSC</w:t>
            </w:r>
          </w:p>
        </w:tc>
        <w:tc>
          <w:tcPr>
            <w:tcW w:w="0" w:type="auto"/>
          </w:tcPr>
          <w:p w:rsidR="00D20D58" w:rsidRPr="00EE49ED" w:rsidRDefault="001B3416" w:rsidP="00FB71EA">
            <w:pPr>
              <w:pStyle w:val="ListParagraph"/>
              <w:spacing w:line="240" w:lineRule="auto"/>
              <w:ind w:left="0"/>
              <w:jc w:val="center"/>
              <w:rPr>
                <w:rFonts w:ascii="Cambria" w:eastAsia="Times New Roman" w:hAnsi="Cambria" w:cs="Arial"/>
                <w:sz w:val="24"/>
                <w:szCs w:val="24"/>
              </w:rPr>
            </w:pPr>
            <w:r w:rsidRPr="00EE49ED">
              <w:rPr>
                <w:rFonts w:ascii="Cambria" w:eastAsia="Times New Roman" w:hAnsi="Cambria" w:cs="Arial"/>
                <w:sz w:val="24"/>
                <w:szCs w:val="24"/>
              </w:rPr>
              <w:t>1</w:t>
            </w:r>
            <w:r w:rsidR="00EE49ED">
              <w:rPr>
                <w:rFonts w:ascii="Cambria" w:eastAsia="Times New Roman" w:hAnsi="Cambria" w:cs="Arial"/>
                <w:sz w:val="24"/>
                <w:szCs w:val="24"/>
              </w:rPr>
              <w:t>0.21</w:t>
            </w:r>
          </w:p>
        </w:tc>
      </w:tr>
      <w:tr w:rsidR="00045C4A" w:rsidRPr="00EE49ED" w:rsidTr="000D6FB5">
        <w:trPr>
          <w:trHeight w:val="57"/>
        </w:trPr>
        <w:tc>
          <w:tcPr>
            <w:tcW w:w="0" w:type="auto"/>
          </w:tcPr>
          <w:p w:rsidR="00045C4A" w:rsidRPr="00EE49ED" w:rsidRDefault="00045C4A" w:rsidP="00FB71EA">
            <w:pPr>
              <w:pStyle w:val="ListParagraph"/>
              <w:spacing w:line="240" w:lineRule="auto"/>
              <w:ind w:left="0"/>
              <w:jc w:val="both"/>
              <w:rPr>
                <w:rFonts w:ascii="Cambria" w:eastAsia="Times New Roman" w:hAnsi="Cambria" w:cs="Arial"/>
                <w:sz w:val="24"/>
                <w:szCs w:val="24"/>
              </w:rPr>
            </w:pPr>
            <w:r w:rsidRPr="00EE49ED">
              <w:rPr>
                <w:rFonts w:ascii="Cambria" w:eastAsia="Times New Roman" w:hAnsi="Cambria" w:cs="Arial"/>
                <w:sz w:val="24"/>
                <w:szCs w:val="24"/>
              </w:rPr>
              <w:t>Paytm</w:t>
            </w:r>
          </w:p>
        </w:tc>
        <w:tc>
          <w:tcPr>
            <w:tcW w:w="0" w:type="auto"/>
          </w:tcPr>
          <w:p w:rsidR="00045C4A" w:rsidRPr="00EE49ED" w:rsidRDefault="00EE49ED" w:rsidP="00FB71EA">
            <w:pPr>
              <w:pStyle w:val="ListParagraph"/>
              <w:spacing w:line="240" w:lineRule="auto"/>
              <w:ind w:left="0"/>
              <w:jc w:val="center"/>
              <w:rPr>
                <w:rFonts w:ascii="Cambria" w:eastAsia="Times New Roman" w:hAnsi="Cambria" w:cs="Arial"/>
                <w:sz w:val="24"/>
                <w:szCs w:val="24"/>
              </w:rPr>
            </w:pPr>
            <w:r>
              <w:rPr>
                <w:rFonts w:ascii="Cambria" w:eastAsia="Times New Roman" w:hAnsi="Cambria" w:cs="Arial"/>
                <w:sz w:val="24"/>
                <w:szCs w:val="24"/>
              </w:rPr>
              <w:t>135.11</w:t>
            </w:r>
          </w:p>
        </w:tc>
      </w:tr>
    </w:tbl>
    <w:p w:rsidR="00D20D58" w:rsidRPr="00003B49" w:rsidRDefault="00D20D58" w:rsidP="00002460">
      <w:pPr>
        <w:pStyle w:val="ListParagraph"/>
        <w:jc w:val="both"/>
        <w:rPr>
          <w:rFonts w:ascii="Cambria" w:eastAsia="Times New Roman" w:hAnsi="Cambria" w:cs="Arial"/>
          <w:sz w:val="24"/>
          <w:szCs w:val="24"/>
        </w:rPr>
      </w:pPr>
    </w:p>
    <w:p w:rsidR="00AF3E12" w:rsidRDefault="000B3FE0" w:rsidP="006935E2">
      <w:pPr>
        <w:pStyle w:val="Heading1"/>
        <w:numPr>
          <w:ilvl w:val="1"/>
          <w:numId w:val="10"/>
        </w:numPr>
        <w:spacing w:line="360" w:lineRule="auto"/>
        <w:jc w:val="both"/>
        <w:rPr>
          <w:rFonts w:ascii="Cambria" w:hAnsi="Cambria"/>
          <w:sz w:val="24"/>
          <w:szCs w:val="24"/>
        </w:rPr>
      </w:pPr>
      <w:bookmarkStart w:id="71" w:name="_Toc25850957"/>
      <w:r w:rsidRPr="00AF3E12">
        <w:rPr>
          <w:rFonts w:ascii="Cambria" w:hAnsi="Cambria"/>
          <w:sz w:val="24"/>
          <w:szCs w:val="24"/>
        </w:rPr>
        <w:t xml:space="preserve">Development of Franchisee in </w:t>
      </w:r>
      <w:r w:rsidR="006C38E9" w:rsidRPr="00AF3E12">
        <w:rPr>
          <w:rFonts w:ascii="Cambria" w:hAnsi="Cambria"/>
          <w:sz w:val="24"/>
          <w:szCs w:val="24"/>
        </w:rPr>
        <w:t>Utility</w:t>
      </w:r>
      <w:r w:rsidRPr="00AF3E12">
        <w:rPr>
          <w:rFonts w:ascii="Cambria" w:hAnsi="Cambria"/>
          <w:sz w:val="24"/>
          <w:szCs w:val="24"/>
        </w:rPr>
        <w:t xml:space="preserve"> Area</w:t>
      </w:r>
      <w:bookmarkEnd w:id="71"/>
    </w:p>
    <w:p w:rsidR="004D4EE4" w:rsidRPr="00CB2030" w:rsidRDefault="004D4EE4" w:rsidP="004D4EE4">
      <w:pPr>
        <w:pStyle w:val="ListParagraph"/>
        <w:spacing w:line="360" w:lineRule="auto"/>
        <w:ind w:left="360"/>
        <w:jc w:val="both"/>
        <w:rPr>
          <w:rFonts w:ascii="Cambria" w:hAnsi="Cambria"/>
          <w:sz w:val="24"/>
          <w:szCs w:val="24"/>
        </w:rPr>
      </w:pPr>
      <w:r w:rsidRPr="00CB2030">
        <w:rPr>
          <w:rFonts w:ascii="Cambria" w:hAnsi="Cambria"/>
          <w:sz w:val="24"/>
          <w:szCs w:val="24"/>
        </w:rPr>
        <w:t>Efforts have been made by the Utility for introduction of Franchisees in its License area as required under the RGGVY Scheme and as per direction of Hon’ble Commission in their tariff Orders. The following models both in operation and proposed as given below:</w:t>
      </w:r>
    </w:p>
    <w:p w:rsidR="004D4EE4" w:rsidRPr="00CB2030" w:rsidRDefault="004D4EE4" w:rsidP="004D4EE4">
      <w:pPr>
        <w:pStyle w:val="ListParagraph"/>
        <w:spacing w:line="360" w:lineRule="auto"/>
        <w:ind w:left="360"/>
        <w:jc w:val="both"/>
        <w:rPr>
          <w:rFonts w:ascii="Cambria" w:hAnsi="Cambria"/>
          <w:sz w:val="24"/>
          <w:szCs w:val="24"/>
        </w:rPr>
      </w:pPr>
    </w:p>
    <w:p w:rsidR="004D4EE4" w:rsidRPr="00CB2030" w:rsidRDefault="004D4EE4" w:rsidP="004D4EE4">
      <w:pPr>
        <w:pStyle w:val="ListParagraph"/>
        <w:spacing w:line="360" w:lineRule="auto"/>
        <w:ind w:left="360"/>
        <w:jc w:val="both"/>
        <w:rPr>
          <w:rFonts w:ascii="Cambria" w:hAnsi="Cambria"/>
          <w:sz w:val="24"/>
          <w:szCs w:val="24"/>
        </w:rPr>
      </w:pPr>
      <w:r w:rsidRPr="00CB2030">
        <w:rPr>
          <w:rFonts w:ascii="Cambria" w:hAnsi="Cambria"/>
          <w:sz w:val="24"/>
          <w:szCs w:val="24"/>
        </w:rPr>
        <w:t xml:space="preserve">Earlier the utility had engaged franchisees both on revenue and input based model. The engagements were on sub-division wise as a unit and for some input based franchisee unit means feeder or 33/11 KV sub- station. There are also some women SHG working at gram panchayat level. However, due to variation factors and more emphasis on wide spread franchisee engagement it was decided that all franchisee shall be converted to new model which is revenue based franchisee model. The </w:t>
      </w:r>
      <w:r w:rsidRPr="00CB2030">
        <w:rPr>
          <w:rFonts w:ascii="Cambria" w:hAnsi="Cambria"/>
          <w:sz w:val="24"/>
          <w:szCs w:val="24"/>
        </w:rPr>
        <w:lastRenderedPageBreak/>
        <w:t>performance of franchisees are judged or calculated on its performance on collection amount, collection efficiency and consumer coverage. A base level is being fixed for all the parameters mentioned above. At different level of performance, points are assigned and based on weighted average of all the parameters incentive is being fixed. The model is Point based Revenue collection Model</w:t>
      </w:r>
    </w:p>
    <w:p w:rsidR="004D4EE4" w:rsidRPr="00CB2030" w:rsidRDefault="004D4EE4" w:rsidP="004D4EE4">
      <w:pPr>
        <w:pStyle w:val="ListParagraph"/>
        <w:spacing w:line="360" w:lineRule="auto"/>
        <w:ind w:left="360"/>
        <w:jc w:val="both"/>
        <w:rPr>
          <w:rFonts w:ascii="Cambria" w:hAnsi="Cambria"/>
          <w:sz w:val="24"/>
          <w:szCs w:val="24"/>
        </w:rPr>
      </w:pPr>
    </w:p>
    <w:p w:rsidR="004D4EE4" w:rsidRPr="00CB2030" w:rsidRDefault="004D4EE4" w:rsidP="004D4EE4">
      <w:pPr>
        <w:pStyle w:val="ListParagraph"/>
        <w:spacing w:line="360" w:lineRule="auto"/>
        <w:ind w:left="360"/>
        <w:jc w:val="both"/>
        <w:rPr>
          <w:rFonts w:ascii="Cambria" w:hAnsi="Cambria"/>
          <w:sz w:val="24"/>
          <w:szCs w:val="24"/>
        </w:rPr>
      </w:pPr>
      <w:r w:rsidRPr="00CB2030">
        <w:rPr>
          <w:rFonts w:ascii="Cambria" w:hAnsi="Cambria"/>
          <w:sz w:val="24"/>
          <w:szCs w:val="24"/>
        </w:rPr>
        <w:t>Consumer growth has increased to manifold on account of village electrification through RGGVY, BGJY, BSVY scheme etc. Billing and collection of these consumers are low due to their BPL status but at the same time input has gone up considerably. As a result the input base model of earlier years became redundant and effectiveness of franchisees has gone down. Further, increase in consumer coverage was also became prime importance for such large consumer base. So a revenue based model has been taken up to give proper emphasis on consumer coverage as well collection efficiency. NESCO has started engagement in this model from May-2015 onwards with separate incentive structure for urban &amp; rural areas. The aim is for greater involvement at grass root levels there by making franchisee operation more effective.</w:t>
      </w:r>
    </w:p>
    <w:p w:rsidR="004D4EE4" w:rsidRPr="00CB2030" w:rsidRDefault="004D4EE4" w:rsidP="004D4EE4">
      <w:pPr>
        <w:pStyle w:val="ListParagraph"/>
        <w:spacing w:line="360" w:lineRule="auto"/>
        <w:ind w:left="360"/>
        <w:jc w:val="both"/>
        <w:rPr>
          <w:rFonts w:ascii="Cambria" w:hAnsi="Cambria"/>
          <w:sz w:val="24"/>
          <w:szCs w:val="24"/>
        </w:rPr>
      </w:pPr>
      <w:r w:rsidRPr="00CB2030">
        <w:rPr>
          <w:rFonts w:ascii="Cambria" w:hAnsi="Cambria"/>
          <w:sz w:val="24"/>
          <w:szCs w:val="24"/>
        </w:rPr>
        <w:t>As on 31</w:t>
      </w:r>
      <w:r w:rsidR="002F4A48">
        <w:rPr>
          <w:rFonts w:ascii="Cambria" w:hAnsi="Cambria"/>
          <w:sz w:val="24"/>
          <w:szCs w:val="24"/>
        </w:rPr>
        <w:t>st March, 2019</w:t>
      </w:r>
      <w:r w:rsidRPr="00CB2030">
        <w:rPr>
          <w:rFonts w:ascii="Cambria" w:hAnsi="Cambria"/>
          <w:sz w:val="24"/>
          <w:szCs w:val="24"/>
        </w:rPr>
        <w:t xml:space="preserve"> the utility was having </w:t>
      </w:r>
      <w:r w:rsidR="00282A6C">
        <w:rPr>
          <w:rFonts w:ascii="Cambria" w:hAnsi="Cambria"/>
          <w:sz w:val="24"/>
          <w:szCs w:val="24"/>
        </w:rPr>
        <w:t>37</w:t>
      </w:r>
      <w:r w:rsidRPr="00CB2030">
        <w:rPr>
          <w:rFonts w:ascii="Cambria" w:hAnsi="Cambria"/>
          <w:sz w:val="24"/>
          <w:szCs w:val="24"/>
        </w:rPr>
        <w:t xml:space="preserve">nos of  macro/input based franchisees with consumer base of </w:t>
      </w:r>
      <w:r w:rsidR="00282A6C">
        <w:rPr>
          <w:rFonts w:ascii="Cambria" w:hAnsi="Cambria"/>
          <w:sz w:val="24"/>
          <w:szCs w:val="24"/>
        </w:rPr>
        <w:t>321146</w:t>
      </w:r>
      <w:r w:rsidRPr="00CB2030">
        <w:rPr>
          <w:rFonts w:ascii="Cambria" w:hAnsi="Cambria"/>
          <w:sz w:val="24"/>
          <w:szCs w:val="24"/>
        </w:rPr>
        <w:t>.</w:t>
      </w:r>
    </w:p>
    <w:p w:rsidR="004D4EE4" w:rsidRDefault="004D4EE4" w:rsidP="004D4EE4">
      <w:pPr>
        <w:pStyle w:val="ListParagraph"/>
        <w:spacing w:line="360" w:lineRule="auto"/>
        <w:ind w:left="360"/>
        <w:jc w:val="both"/>
        <w:rPr>
          <w:rFonts w:asciiTheme="majorHAnsi" w:hAnsiTheme="majorHAnsi"/>
          <w:sz w:val="24"/>
          <w:szCs w:val="24"/>
        </w:rPr>
      </w:pPr>
      <w:r w:rsidRPr="00CB2030">
        <w:rPr>
          <w:rFonts w:asciiTheme="majorHAnsi" w:hAnsiTheme="majorHAnsi"/>
          <w:sz w:val="24"/>
          <w:szCs w:val="24"/>
        </w:rPr>
        <w:t>The franchisee plan are as under :</w:t>
      </w:r>
    </w:p>
    <w:tbl>
      <w:tblPr>
        <w:tblW w:w="8527" w:type="dxa"/>
        <w:tblInd w:w="103" w:type="dxa"/>
        <w:tblLook w:val="04A0"/>
      </w:tblPr>
      <w:tblGrid>
        <w:gridCol w:w="3350"/>
        <w:gridCol w:w="1272"/>
        <w:gridCol w:w="1337"/>
        <w:gridCol w:w="1185"/>
        <w:gridCol w:w="1383"/>
      </w:tblGrid>
      <w:tr w:rsidR="00CB2030" w:rsidRPr="00A13E29" w:rsidTr="002F4A48">
        <w:trPr>
          <w:trHeight w:val="434"/>
        </w:trPr>
        <w:tc>
          <w:tcPr>
            <w:tcW w:w="3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030" w:rsidRDefault="00CB2030">
            <w:pPr>
              <w:rPr>
                <w:rFonts w:ascii="Calibri" w:hAnsi="Calibri" w:cs="Arial"/>
                <w:b/>
                <w:bCs/>
                <w:color w:val="0000FF"/>
              </w:rPr>
            </w:pPr>
            <w:r>
              <w:rPr>
                <w:rFonts w:ascii="Calibri" w:hAnsi="Calibri" w:cs="Arial"/>
                <w:b/>
                <w:bCs/>
                <w:color w:val="0000FF"/>
              </w:rPr>
              <w:t xml:space="preserve"> Particulars </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rsidR="00CB2030" w:rsidRDefault="00CB2030" w:rsidP="00C75917">
            <w:pPr>
              <w:jc w:val="center"/>
              <w:rPr>
                <w:rFonts w:ascii="Calibri" w:hAnsi="Calibri" w:cs="Arial"/>
                <w:b/>
                <w:bCs/>
                <w:color w:val="0000FF"/>
                <w:sz w:val="22"/>
                <w:szCs w:val="22"/>
              </w:rPr>
            </w:pPr>
            <w:r>
              <w:rPr>
                <w:rFonts w:ascii="Calibri" w:hAnsi="Calibri" w:cs="Arial"/>
                <w:b/>
                <w:bCs/>
                <w:color w:val="0000FF"/>
                <w:sz w:val="22"/>
                <w:szCs w:val="22"/>
              </w:rPr>
              <w:t xml:space="preserve"> During Previous Year </w:t>
            </w:r>
            <w:r w:rsidR="00C75917">
              <w:rPr>
                <w:rFonts w:ascii="Calibri" w:hAnsi="Calibri" w:cs="Arial"/>
                <w:b/>
                <w:bCs/>
                <w:color w:val="0000FF"/>
                <w:sz w:val="22"/>
                <w:szCs w:val="22"/>
              </w:rPr>
              <w:t>(FY 2018</w:t>
            </w:r>
            <w:r>
              <w:rPr>
                <w:rFonts w:ascii="Calibri" w:hAnsi="Calibri" w:cs="Arial"/>
                <w:b/>
                <w:bCs/>
                <w:color w:val="0000FF"/>
                <w:sz w:val="22"/>
                <w:szCs w:val="22"/>
              </w:rPr>
              <w:t>-1</w:t>
            </w:r>
            <w:r w:rsidR="00C75917">
              <w:rPr>
                <w:rFonts w:ascii="Calibri" w:hAnsi="Calibri" w:cs="Arial"/>
                <w:b/>
                <w:bCs/>
                <w:color w:val="0000FF"/>
                <w:sz w:val="22"/>
                <w:szCs w:val="22"/>
              </w:rPr>
              <w:t>9</w:t>
            </w:r>
            <w:r>
              <w:rPr>
                <w:rFonts w:ascii="Calibri" w:hAnsi="Calibri" w:cs="Arial"/>
                <w:b/>
                <w:bCs/>
                <w:color w:val="0000FF"/>
                <w:sz w:val="22"/>
                <w:szCs w:val="22"/>
              </w:rPr>
              <w:t xml:space="preserve">) </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CB2030" w:rsidRDefault="00CB2030">
            <w:pPr>
              <w:jc w:val="center"/>
              <w:rPr>
                <w:rFonts w:ascii="Calibri" w:hAnsi="Calibri" w:cs="Arial"/>
                <w:b/>
                <w:bCs/>
                <w:color w:val="0000FF"/>
                <w:sz w:val="22"/>
                <w:szCs w:val="22"/>
              </w:rPr>
            </w:pPr>
            <w:r>
              <w:rPr>
                <w:rFonts w:ascii="Calibri" w:hAnsi="Calibri" w:cs="Arial"/>
                <w:b/>
                <w:bCs/>
                <w:color w:val="0000FF"/>
                <w:sz w:val="22"/>
                <w:szCs w:val="22"/>
              </w:rPr>
              <w:t xml:space="preserve"> During 1st 6 mon</w:t>
            </w:r>
            <w:r w:rsidR="00C75917">
              <w:rPr>
                <w:rFonts w:ascii="Calibri" w:hAnsi="Calibri" w:cs="Arial"/>
                <w:b/>
                <w:bCs/>
                <w:color w:val="0000FF"/>
                <w:sz w:val="22"/>
                <w:szCs w:val="22"/>
              </w:rPr>
              <w:t xml:space="preserve">ths of the current year </w:t>
            </w:r>
            <w:r w:rsidR="00C75917">
              <w:rPr>
                <w:rFonts w:ascii="Calibri" w:hAnsi="Calibri" w:cs="Arial"/>
                <w:b/>
                <w:bCs/>
                <w:color w:val="0000FF"/>
                <w:sz w:val="22"/>
                <w:szCs w:val="22"/>
              </w:rPr>
              <w:br/>
              <w:t>(Apr-19 to Sep-19</w:t>
            </w:r>
            <w:r>
              <w:rPr>
                <w:rFonts w:ascii="Calibri" w:hAnsi="Calibri" w:cs="Arial"/>
                <w:b/>
                <w:bCs/>
                <w:color w:val="0000FF"/>
                <w:sz w:val="22"/>
                <w:szCs w:val="22"/>
              </w:rPr>
              <w:t xml:space="preserve">)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CB2030" w:rsidRDefault="00CB2030">
            <w:pPr>
              <w:jc w:val="center"/>
              <w:rPr>
                <w:rFonts w:ascii="Calibri" w:hAnsi="Calibri" w:cs="Arial"/>
                <w:b/>
                <w:bCs/>
                <w:color w:val="0000FF"/>
                <w:sz w:val="22"/>
                <w:szCs w:val="22"/>
              </w:rPr>
            </w:pPr>
            <w:r>
              <w:rPr>
                <w:rFonts w:ascii="Calibri" w:hAnsi="Calibri" w:cs="Arial"/>
                <w:b/>
                <w:bCs/>
                <w:color w:val="0000FF"/>
                <w:sz w:val="22"/>
                <w:szCs w:val="22"/>
              </w:rPr>
              <w:t xml:space="preserve"> Project</w:t>
            </w:r>
            <w:r w:rsidR="00C75917">
              <w:rPr>
                <w:rFonts w:ascii="Calibri" w:hAnsi="Calibri" w:cs="Arial"/>
                <w:b/>
                <w:bCs/>
                <w:color w:val="0000FF"/>
                <w:sz w:val="22"/>
                <w:szCs w:val="22"/>
              </w:rPr>
              <w:t xml:space="preserve">ed for the current year </w:t>
            </w:r>
            <w:r w:rsidR="00C75917">
              <w:rPr>
                <w:rFonts w:ascii="Calibri" w:hAnsi="Calibri" w:cs="Arial"/>
                <w:b/>
                <w:bCs/>
                <w:color w:val="0000FF"/>
                <w:sz w:val="22"/>
                <w:szCs w:val="22"/>
              </w:rPr>
              <w:br/>
              <w:t>(Apr-19 to Mar-20</w:t>
            </w:r>
            <w:r>
              <w:rPr>
                <w:rFonts w:ascii="Calibri" w:hAnsi="Calibri" w:cs="Arial"/>
                <w:b/>
                <w:bCs/>
                <w:color w:val="0000FF"/>
                <w:sz w:val="22"/>
                <w:szCs w:val="22"/>
              </w:rPr>
              <w:t xml:space="preserve">) </w:t>
            </w:r>
          </w:p>
        </w:tc>
        <w:tc>
          <w:tcPr>
            <w:tcW w:w="1383" w:type="dxa"/>
            <w:tcBorders>
              <w:top w:val="single" w:sz="4" w:space="0" w:color="auto"/>
              <w:left w:val="nil"/>
              <w:bottom w:val="single" w:sz="4" w:space="0" w:color="auto"/>
              <w:right w:val="single" w:sz="4" w:space="0" w:color="auto"/>
            </w:tcBorders>
            <w:shd w:val="clear" w:color="auto" w:fill="auto"/>
            <w:vAlign w:val="center"/>
            <w:hideMark/>
          </w:tcPr>
          <w:p w:rsidR="00CB2030" w:rsidRDefault="00CB2030" w:rsidP="00C75917">
            <w:pPr>
              <w:jc w:val="center"/>
              <w:rPr>
                <w:rFonts w:ascii="Calibri" w:hAnsi="Calibri" w:cs="Arial"/>
                <w:b/>
                <w:bCs/>
                <w:color w:val="0000FF"/>
                <w:sz w:val="22"/>
                <w:szCs w:val="22"/>
              </w:rPr>
            </w:pPr>
            <w:r>
              <w:rPr>
                <w:rFonts w:ascii="Calibri" w:hAnsi="Calibri" w:cs="Arial"/>
                <w:b/>
                <w:bCs/>
                <w:color w:val="0000FF"/>
                <w:sz w:val="22"/>
                <w:szCs w:val="22"/>
              </w:rPr>
              <w:t xml:space="preserve"> Projected </w:t>
            </w:r>
            <w:r w:rsidR="00C75917">
              <w:rPr>
                <w:rFonts w:ascii="Calibri" w:hAnsi="Calibri" w:cs="Arial"/>
                <w:b/>
                <w:bCs/>
                <w:color w:val="0000FF"/>
                <w:sz w:val="22"/>
                <w:szCs w:val="22"/>
              </w:rPr>
              <w:t>for the subsequent year (FY 2020</w:t>
            </w:r>
            <w:r>
              <w:rPr>
                <w:rFonts w:ascii="Calibri" w:hAnsi="Calibri" w:cs="Arial"/>
                <w:b/>
                <w:bCs/>
                <w:color w:val="0000FF"/>
                <w:sz w:val="22"/>
                <w:szCs w:val="22"/>
              </w:rPr>
              <w:t>-2</w:t>
            </w:r>
            <w:r w:rsidR="00C75917">
              <w:rPr>
                <w:rFonts w:ascii="Calibri" w:hAnsi="Calibri" w:cs="Arial"/>
                <w:b/>
                <w:bCs/>
                <w:color w:val="0000FF"/>
                <w:sz w:val="22"/>
                <w:szCs w:val="22"/>
              </w:rPr>
              <w:t>1</w:t>
            </w:r>
            <w:r>
              <w:rPr>
                <w:rFonts w:ascii="Calibri" w:hAnsi="Calibri" w:cs="Arial"/>
                <w:b/>
                <w:bCs/>
                <w:color w:val="0000FF"/>
                <w:sz w:val="22"/>
                <w:szCs w:val="22"/>
              </w:rPr>
              <w:t xml:space="preserve">) </w:t>
            </w:r>
          </w:p>
        </w:tc>
      </w:tr>
      <w:tr w:rsidR="002F4A48" w:rsidTr="002F4A48">
        <w:trPr>
          <w:trHeight w:val="134"/>
        </w:trPr>
        <w:tc>
          <w:tcPr>
            <w:tcW w:w="3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4A48" w:rsidRPr="002F4A48" w:rsidRDefault="002F4A48">
            <w:pPr>
              <w:rPr>
                <w:rFonts w:ascii="Calibri" w:hAnsi="Calibri" w:cs="Arial"/>
                <w:bCs/>
              </w:rPr>
            </w:pPr>
            <w:r w:rsidRPr="002F4A48">
              <w:rPr>
                <w:rFonts w:ascii="Calibri" w:hAnsi="Calibri" w:cs="Arial"/>
                <w:bCs/>
              </w:rPr>
              <w:t>Franchisee Activity</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rsidR="002F4A48" w:rsidRPr="002F4A48" w:rsidRDefault="002F4A48" w:rsidP="002F4A48">
            <w:pPr>
              <w:jc w:val="center"/>
              <w:rPr>
                <w:rFonts w:ascii="Calibri" w:hAnsi="Calibri" w:cs="Arial"/>
                <w:bCs/>
                <w:sz w:val="22"/>
                <w:szCs w:val="22"/>
              </w:rPr>
            </w:pPr>
            <w:r w:rsidRPr="002F4A48">
              <w:rPr>
                <w:rFonts w:ascii="Calibri" w:hAnsi="Calibri" w:cs="Arial"/>
                <w:bCs/>
                <w:sz w:val="22"/>
                <w:szCs w:val="22"/>
              </w:rPr>
              <w:t> </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2F4A48" w:rsidRPr="002F4A48" w:rsidRDefault="002F4A48" w:rsidP="002F4A48">
            <w:pPr>
              <w:jc w:val="center"/>
              <w:rPr>
                <w:rFonts w:ascii="Calibri" w:hAnsi="Calibri" w:cs="Arial"/>
                <w:bCs/>
                <w:sz w:val="22"/>
                <w:szCs w:val="22"/>
              </w:rPr>
            </w:pPr>
            <w:r w:rsidRPr="002F4A48">
              <w:rPr>
                <w:rFonts w:ascii="Calibri" w:hAnsi="Calibri" w:cs="Arial"/>
                <w:bCs/>
                <w:sz w:val="22"/>
                <w:szCs w:val="22"/>
              </w:rPr>
              <w:t>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2F4A48" w:rsidRPr="002F4A48" w:rsidRDefault="002F4A48" w:rsidP="002F4A48">
            <w:pPr>
              <w:jc w:val="center"/>
              <w:rPr>
                <w:rFonts w:ascii="Calibri" w:hAnsi="Calibri" w:cs="Arial"/>
                <w:bCs/>
                <w:sz w:val="22"/>
                <w:szCs w:val="22"/>
              </w:rPr>
            </w:pPr>
            <w:r w:rsidRPr="002F4A48">
              <w:rPr>
                <w:rFonts w:ascii="Calibri" w:hAnsi="Calibri" w:cs="Arial"/>
                <w:bCs/>
                <w:sz w:val="22"/>
                <w:szCs w:val="22"/>
              </w:rPr>
              <w:t> </w:t>
            </w:r>
          </w:p>
        </w:tc>
        <w:tc>
          <w:tcPr>
            <w:tcW w:w="1383" w:type="dxa"/>
            <w:tcBorders>
              <w:top w:val="single" w:sz="4" w:space="0" w:color="auto"/>
              <w:left w:val="nil"/>
              <w:bottom w:val="single" w:sz="4" w:space="0" w:color="auto"/>
              <w:right w:val="single" w:sz="4" w:space="0" w:color="auto"/>
            </w:tcBorders>
            <w:shd w:val="clear" w:color="auto" w:fill="auto"/>
            <w:vAlign w:val="center"/>
            <w:hideMark/>
          </w:tcPr>
          <w:p w:rsidR="002F4A48" w:rsidRPr="002F4A48" w:rsidRDefault="002F4A48" w:rsidP="002F4A48">
            <w:pPr>
              <w:jc w:val="center"/>
              <w:rPr>
                <w:rFonts w:ascii="Calibri" w:hAnsi="Calibri" w:cs="Arial"/>
                <w:bCs/>
                <w:sz w:val="22"/>
                <w:szCs w:val="22"/>
              </w:rPr>
            </w:pPr>
            <w:r w:rsidRPr="002F4A48">
              <w:rPr>
                <w:rFonts w:ascii="Calibri" w:hAnsi="Calibri" w:cs="Arial"/>
                <w:bCs/>
                <w:sz w:val="22"/>
                <w:szCs w:val="22"/>
              </w:rPr>
              <w:t> </w:t>
            </w:r>
          </w:p>
        </w:tc>
      </w:tr>
      <w:tr w:rsidR="002F4A48" w:rsidTr="002F4A48">
        <w:trPr>
          <w:trHeight w:val="155"/>
        </w:trPr>
        <w:tc>
          <w:tcPr>
            <w:tcW w:w="3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4A48" w:rsidRPr="002F4A48" w:rsidRDefault="002F4A48">
            <w:pPr>
              <w:rPr>
                <w:rFonts w:ascii="Calibri" w:hAnsi="Calibri" w:cs="Arial"/>
                <w:bCs/>
              </w:rPr>
            </w:pPr>
            <w:r w:rsidRPr="002F4A48">
              <w:rPr>
                <w:rFonts w:ascii="Calibri" w:hAnsi="Calibri" w:cs="Arial"/>
                <w:bCs/>
              </w:rPr>
              <w:t>No of Micro-Franchisees</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rsidR="002F4A48" w:rsidRPr="002F4A48" w:rsidRDefault="002F4A48" w:rsidP="002F4A48">
            <w:pPr>
              <w:jc w:val="center"/>
              <w:rPr>
                <w:rFonts w:ascii="Calibri" w:hAnsi="Calibri" w:cs="Arial"/>
                <w:bCs/>
                <w:sz w:val="22"/>
                <w:szCs w:val="22"/>
              </w:rPr>
            </w:pPr>
            <w:r w:rsidRPr="002F4A48">
              <w:rPr>
                <w:rFonts w:ascii="Calibri" w:hAnsi="Calibri" w:cs="Arial"/>
                <w:bCs/>
                <w:sz w:val="22"/>
                <w:szCs w:val="22"/>
              </w:rPr>
              <w:t>37</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2F4A48" w:rsidRPr="002F4A48" w:rsidRDefault="002F4A48" w:rsidP="002F4A48">
            <w:pPr>
              <w:jc w:val="center"/>
              <w:rPr>
                <w:rFonts w:ascii="Calibri" w:hAnsi="Calibri" w:cs="Arial"/>
                <w:bCs/>
                <w:sz w:val="22"/>
                <w:szCs w:val="22"/>
              </w:rPr>
            </w:pPr>
            <w:r w:rsidRPr="002F4A48">
              <w:rPr>
                <w:rFonts w:ascii="Calibri" w:hAnsi="Calibri" w:cs="Arial"/>
                <w:bCs/>
                <w:sz w:val="22"/>
                <w:szCs w:val="22"/>
              </w:rPr>
              <w:t>78</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2F4A48" w:rsidRPr="002F4A48" w:rsidRDefault="002F4A48" w:rsidP="002F4A48">
            <w:pPr>
              <w:rPr>
                <w:rFonts w:ascii="Calibri" w:hAnsi="Calibri" w:cs="Arial"/>
                <w:bCs/>
                <w:sz w:val="22"/>
                <w:szCs w:val="22"/>
              </w:rPr>
            </w:pPr>
            <w:r>
              <w:rPr>
                <w:rFonts w:ascii="Calibri" w:hAnsi="Calibri" w:cs="Arial"/>
                <w:bCs/>
                <w:sz w:val="22"/>
                <w:szCs w:val="22"/>
              </w:rPr>
              <w:t xml:space="preserve">       </w:t>
            </w:r>
            <w:r w:rsidR="00282A6C">
              <w:rPr>
                <w:rFonts w:ascii="Calibri" w:hAnsi="Calibri" w:cs="Arial"/>
                <w:bCs/>
                <w:sz w:val="22"/>
                <w:szCs w:val="22"/>
              </w:rPr>
              <w:t xml:space="preserve">     </w:t>
            </w:r>
            <w:r w:rsidRPr="002F4A48">
              <w:rPr>
                <w:rFonts w:ascii="Calibri" w:hAnsi="Calibri" w:cs="Arial"/>
                <w:bCs/>
                <w:sz w:val="22"/>
                <w:szCs w:val="22"/>
              </w:rPr>
              <w:t>150</w:t>
            </w:r>
          </w:p>
        </w:tc>
        <w:tc>
          <w:tcPr>
            <w:tcW w:w="1383" w:type="dxa"/>
            <w:tcBorders>
              <w:top w:val="single" w:sz="4" w:space="0" w:color="auto"/>
              <w:left w:val="nil"/>
              <w:bottom w:val="single" w:sz="4" w:space="0" w:color="auto"/>
              <w:right w:val="single" w:sz="4" w:space="0" w:color="auto"/>
            </w:tcBorders>
            <w:shd w:val="clear" w:color="auto" w:fill="auto"/>
            <w:vAlign w:val="center"/>
            <w:hideMark/>
          </w:tcPr>
          <w:p w:rsidR="002F4A48" w:rsidRPr="002F4A48" w:rsidRDefault="002F4A48" w:rsidP="002F4A48">
            <w:pPr>
              <w:rPr>
                <w:rFonts w:ascii="Calibri" w:hAnsi="Calibri" w:cs="Arial"/>
                <w:bCs/>
                <w:sz w:val="22"/>
                <w:szCs w:val="22"/>
              </w:rPr>
            </w:pPr>
            <w:r>
              <w:rPr>
                <w:rFonts w:ascii="Calibri" w:hAnsi="Calibri" w:cs="Arial"/>
                <w:bCs/>
                <w:sz w:val="22"/>
                <w:szCs w:val="22"/>
              </w:rPr>
              <w:t xml:space="preserve">               </w:t>
            </w:r>
            <w:r w:rsidR="00282A6C">
              <w:rPr>
                <w:rFonts w:ascii="Calibri" w:hAnsi="Calibri" w:cs="Arial"/>
                <w:bCs/>
                <w:sz w:val="22"/>
                <w:szCs w:val="22"/>
              </w:rPr>
              <w:t xml:space="preserve"> </w:t>
            </w:r>
            <w:r w:rsidRPr="002F4A48">
              <w:rPr>
                <w:rFonts w:ascii="Calibri" w:hAnsi="Calibri" w:cs="Arial"/>
                <w:bCs/>
                <w:sz w:val="22"/>
                <w:szCs w:val="22"/>
              </w:rPr>
              <w:t xml:space="preserve">250 </w:t>
            </w:r>
          </w:p>
        </w:tc>
      </w:tr>
      <w:tr w:rsidR="002F4A48" w:rsidTr="002F4A48">
        <w:trPr>
          <w:trHeight w:val="289"/>
        </w:trPr>
        <w:tc>
          <w:tcPr>
            <w:tcW w:w="3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4A48" w:rsidRPr="002F4A48" w:rsidRDefault="002F4A48">
            <w:pPr>
              <w:rPr>
                <w:rFonts w:ascii="Calibri" w:hAnsi="Calibri" w:cs="Arial"/>
                <w:bCs/>
              </w:rPr>
            </w:pPr>
            <w:r w:rsidRPr="002F4A48">
              <w:rPr>
                <w:rFonts w:ascii="Calibri" w:hAnsi="Calibri" w:cs="Arial"/>
                <w:bCs/>
              </w:rPr>
              <w:t>No of Consumers Covered</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rsidR="002F4A48" w:rsidRPr="002F4A48" w:rsidRDefault="002F4A48" w:rsidP="002F4A48">
            <w:pPr>
              <w:jc w:val="center"/>
              <w:rPr>
                <w:rFonts w:ascii="Calibri" w:hAnsi="Calibri" w:cs="Arial"/>
                <w:bCs/>
                <w:sz w:val="22"/>
                <w:szCs w:val="22"/>
              </w:rPr>
            </w:pPr>
            <w:r w:rsidRPr="002F4A48">
              <w:rPr>
                <w:rFonts w:ascii="Calibri" w:hAnsi="Calibri" w:cs="Arial"/>
                <w:bCs/>
                <w:sz w:val="22"/>
                <w:szCs w:val="22"/>
              </w:rPr>
              <w:t>207026</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2F4A48" w:rsidRPr="002F4A48" w:rsidRDefault="002F4A48" w:rsidP="002F4A48">
            <w:pPr>
              <w:jc w:val="center"/>
              <w:rPr>
                <w:rFonts w:ascii="Calibri" w:hAnsi="Calibri" w:cs="Arial"/>
                <w:bCs/>
                <w:sz w:val="22"/>
                <w:szCs w:val="22"/>
              </w:rPr>
            </w:pPr>
            <w:r w:rsidRPr="002F4A48">
              <w:rPr>
                <w:rFonts w:ascii="Calibri" w:hAnsi="Calibri" w:cs="Arial"/>
                <w:bCs/>
                <w:sz w:val="22"/>
                <w:szCs w:val="22"/>
              </w:rPr>
              <w:t>78477</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2F4A48" w:rsidRPr="002F4A48" w:rsidRDefault="002F4A48" w:rsidP="002F4A48">
            <w:pPr>
              <w:jc w:val="center"/>
              <w:rPr>
                <w:rFonts w:ascii="Calibri" w:hAnsi="Calibri" w:cs="Arial"/>
                <w:bCs/>
                <w:sz w:val="22"/>
                <w:szCs w:val="22"/>
              </w:rPr>
            </w:pPr>
            <w:r>
              <w:rPr>
                <w:rFonts w:ascii="Calibri" w:hAnsi="Calibri" w:cs="Arial"/>
                <w:bCs/>
                <w:sz w:val="22"/>
                <w:szCs w:val="22"/>
              </w:rPr>
              <w:t xml:space="preserve"> </w:t>
            </w:r>
            <w:r w:rsidRPr="002F4A48">
              <w:rPr>
                <w:rFonts w:ascii="Calibri" w:hAnsi="Calibri" w:cs="Arial"/>
                <w:bCs/>
                <w:sz w:val="22"/>
                <w:szCs w:val="22"/>
              </w:rPr>
              <w:t xml:space="preserve">150,000 </w:t>
            </w:r>
          </w:p>
        </w:tc>
        <w:tc>
          <w:tcPr>
            <w:tcW w:w="1383" w:type="dxa"/>
            <w:tcBorders>
              <w:top w:val="single" w:sz="4" w:space="0" w:color="auto"/>
              <w:left w:val="nil"/>
              <w:bottom w:val="single" w:sz="4" w:space="0" w:color="auto"/>
              <w:right w:val="single" w:sz="4" w:space="0" w:color="auto"/>
            </w:tcBorders>
            <w:shd w:val="clear" w:color="auto" w:fill="auto"/>
            <w:vAlign w:val="center"/>
            <w:hideMark/>
          </w:tcPr>
          <w:p w:rsidR="002F4A48" w:rsidRPr="002F4A48" w:rsidRDefault="002F4A48" w:rsidP="002F4A48">
            <w:pPr>
              <w:rPr>
                <w:rFonts w:ascii="Calibri" w:hAnsi="Calibri" w:cs="Arial"/>
                <w:bCs/>
                <w:sz w:val="22"/>
                <w:szCs w:val="22"/>
              </w:rPr>
            </w:pPr>
            <w:r w:rsidRPr="002F4A48">
              <w:rPr>
                <w:rFonts w:ascii="Calibri" w:hAnsi="Calibri" w:cs="Arial"/>
                <w:bCs/>
                <w:sz w:val="22"/>
                <w:szCs w:val="22"/>
              </w:rPr>
              <w:t xml:space="preserve">       250,000 </w:t>
            </w:r>
          </w:p>
        </w:tc>
      </w:tr>
      <w:tr w:rsidR="002F4A48" w:rsidTr="002F4A48">
        <w:trPr>
          <w:trHeight w:val="175"/>
        </w:trPr>
        <w:tc>
          <w:tcPr>
            <w:tcW w:w="3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4A48" w:rsidRPr="002F4A48" w:rsidRDefault="002F4A48">
            <w:pPr>
              <w:rPr>
                <w:rFonts w:ascii="Calibri" w:hAnsi="Calibri" w:cs="Arial"/>
                <w:bCs/>
              </w:rPr>
            </w:pPr>
            <w:r w:rsidRPr="002F4A48">
              <w:rPr>
                <w:rFonts w:ascii="Calibri" w:hAnsi="Calibri" w:cs="Arial"/>
                <w:bCs/>
              </w:rPr>
              <w:t>No of Macro-Franchisees</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rsidR="002F4A48" w:rsidRPr="002F4A48" w:rsidRDefault="002F4A48" w:rsidP="002F4A48">
            <w:pPr>
              <w:jc w:val="center"/>
              <w:rPr>
                <w:rFonts w:ascii="Calibri" w:hAnsi="Calibri" w:cs="Arial"/>
                <w:bCs/>
                <w:sz w:val="22"/>
                <w:szCs w:val="22"/>
              </w:rPr>
            </w:pPr>
            <w:r w:rsidRPr="002F4A48">
              <w:rPr>
                <w:rFonts w:ascii="Calibri" w:hAnsi="Calibri" w:cs="Arial"/>
                <w:bCs/>
                <w:sz w:val="22"/>
                <w:szCs w:val="22"/>
              </w:rPr>
              <w:t>3</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2F4A48" w:rsidRPr="002F4A48" w:rsidRDefault="002F4A48" w:rsidP="002F4A48">
            <w:pPr>
              <w:jc w:val="center"/>
              <w:rPr>
                <w:rFonts w:ascii="Calibri" w:hAnsi="Calibri" w:cs="Arial"/>
                <w:bCs/>
                <w:sz w:val="22"/>
                <w:szCs w:val="22"/>
              </w:rPr>
            </w:pPr>
            <w:r w:rsidRPr="002F4A48">
              <w:rPr>
                <w:rFonts w:ascii="Calibri" w:hAnsi="Calibri" w:cs="Arial"/>
                <w:bCs/>
                <w:sz w:val="22"/>
                <w:szCs w:val="22"/>
              </w:rPr>
              <w:t xml:space="preserve">  </w:t>
            </w:r>
            <w:r w:rsidR="00282A6C">
              <w:rPr>
                <w:rFonts w:ascii="Calibri" w:hAnsi="Calibri" w:cs="Arial"/>
                <w:bCs/>
                <w:sz w:val="22"/>
                <w:szCs w:val="22"/>
              </w:rPr>
              <w:t xml:space="preserve">                          </w:t>
            </w:r>
            <w:r w:rsidRPr="002F4A48">
              <w:rPr>
                <w:rFonts w:ascii="Calibri" w:hAnsi="Calibri" w:cs="Arial"/>
                <w:bCs/>
                <w:sz w:val="22"/>
                <w:szCs w:val="22"/>
              </w:rPr>
              <w:t xml:space="preserve">-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2F4A48" w:rsidRPr="002F4A48" w:rsidRDefault="002F4A48" w:rsidP="002F4A48">
            <w:pPr>
              <w:jc w:val="center"/>
              <w:rPr>
                <w:rFonts w:ascii="Calibri" w:hAnsi="Calibri" w:cs="Arial"/>
                <w:bCs/>
                <w:sz w:val="22"/>
                <w:szCs w:val="22"/>
              </w:rPr>
            </w:pPr>
            <w:r w:rsidRPr="002F4A48">
              <w:rPr>
                <w:rFonts w:ascii="Calibri" w:hAnsi="Calibri" w:cs="Arial"/>
                <w:bCs/>
                <w:sz w:val="22"/>
                <w:szCs w:val="22"/>
              </w:rPr>
              <w:t xml:space="preserve">                                 -   </w:t>
            </w:r>
          </w:p>
        </w:tc>
        <w:tc>
          <w:tcPr>
            <w:tcW w:w="1383" w:type="dxa"/>
            <w:tcBorders>
              <w:top w:val="single" w:sz="4" w:space="0" w:color="auto"/>
              <w:left w:val="nil"/>
              <w:bottom w:val="single" w:sz="4" w:space="0" w:color="auto"/>
              <w:right w:val="single" w:sz="4" w:space="0" w:color="auto"/>
            </w:tcBorders>
            <w:shd w:val="clear" w:color="auto" w:fill="auto"/>
            <w:vAlign w:val="center"/>
            <w:hideMark/>
          </w:tcPr>
          <w:p w:rsidR="002F4A48" w:rsidRPr="002F4A48" w:rsidRDefault="002F4A48" w:rsidP="002F4A48">
            <w:pPr>
              <w:jc w:val="center"/>
              <w:rPr>
                <w:rFonts w:ascii="Calibri" w:hAnsi="Calibri" w:cs="Arial"/>
                <w:bCs/>
                <w:sz w:val="22"/>
                <w:szCs w:val="22"/>
              </w:rPr>
            </w:pPr>
            <w:r w:rsidRPr="002F4A48">
              <w:rPr>
                <w:rFonts w:ascii="Calibri" w:hAnsi="Calibri" w:cs="Arial"/>
                <w:bCs/>
                <w:sz w:val="22"/>
                <w:szCs w:val="22"/>
              </w:rPr>
              <w:t xml:space="preserve">                                 -   </w:t>
            </w:r>
          </w:p>
        </w:tc>
      </w:tr>
      <w:tr w:rsidR="002F4A48" w:rsidTr="002F4A48">
        <w:trPr>
          <w:trHeight w:val="434"/>
        </w:trPr>
        <w:tc>
          <w:tcPr>
            <w:tcW w:w="3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4A48" w:rsidRPr="002F4A48" w:rsidRDefault="002F4A48">
            <w:pPr>
              <w:rPr>
                <w:rFonts w:ascii="Calibri" w:hAnsi="Calibri" w:cs="Arial"/>
                <w:bCs/>
              </w:rPr>
            </w:pPr>
            <w:r w:rsidRPr="002F4A48">
              <w:rPr>
                <w:rFonts w:ascii="Calibri" w:hAnsi="Calibri" w:cs="Arial"/>
                <w:bCs/>
              </w:rPr>
              <w:t>No of Consumers Covered</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rsidR="002F4A48" w:rsidRPr="002F4A48" w:rsidRDefault="002F4A48" w:rsidP="002F4A48">
            <w:pPr>
              <w:jc w:val="center"/>
              <w:rPr>
                <w:rFonts w:ascii="Calibri" w:hAnsi="Calibri" w:cs="Arial"/>
                <w:bCs/>
                <w:sz w:val="22"/>
                <w:szCs w:val="22"/>
              </w:rPr>
            </w:pPr>
            <w:r w:rsidRPr="002F4A48">
              <w:rPr>
                <w:rFonts w:ascii="Calibri" w:hAnsi="Calibri" w:cs="Arial"/>
                <w:bCs/>
                <w:sz w:val="22"/>
                <w:szCs w:val="22"/>
              </w:rPr>
              <w:t xml:space="preserve">               75,770 </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2F4A48" w:rsidRPr="002F4A48" w:rsidRDefault="002F4A48" w:rsidP="002F4A48">
            <w:pPr>
              <w:jc w:val="center"/>
              <w:rPr>
                <w:rFonts w:ascii="Calibri" w:hAnsi="Calibri" w:cs="Arial"/>
                <w:bCs/>
                <w:sz w:val="22"/>
                <w:szCs w:val="22"/>
              </w:rPr>
            </w:pPr>
            <w:r w:rsidRPr="002F4A48">
              <w:rPr>
                <w:rFonts w:ascii="Calibri" w:hAnsi="Calibri" w:cs="Arial"/>
                <w:bCs/>
                <w:sz w:val="22"/>
                <w:szCs w:val="22"/>
              </w:rPr>
              <w:t xml:space="preserve">                                  -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2F4A48" w:rsidRPr="002F4A48" w:rsidRDefault="002F4A48" w:rsidP="002F4A48">
            <w:pPr>
              <w:jc w:val="center"/>
              <w:rPr>
                <w:rFonts w:ascii="Calibri" w:hAnsi="Calibri" w:cs="Arial"/>
                <w:bCs/>
                <w:sz w:val="22"/>
                <w:szCs w:val="22"/>
              </w:rPr>
            </w:pPr>
            <w:r w:rsidRPr="002F4A48">
              <w:rPr>
                <w:rFonts w:ascii="Calibri" w:hAnsi="Calibri" w:cs="Arial"/>
                <w:bCs/>
                <w:sz w:val="22"/>
                <w:szCs w:val="22"/>
              </w:rPr>
              <w:t xml:space="preserve">                                 -   </w:t>
            </w:r>
          </w:p>
        </w:tc>
        <w:tc>
          <w:tcPr>
            <w:tcW w:w="1383" w:type="dxa"/>
            <w:tcBorders>
              <w:top w:val="single" w:sz="4" w:space="0" w:color="auto"/>
              <w:left w:val="nil"/>
              <w:bottom w:val="single" w:sz="4" w:space="0" w:color="auto"/>
              <w:right w:val="single" w:sz="4" w:space="0" w:color="auto"/>
            </w:tcBorders>
            <w:shd w:val="clear" w:color="auto" w:fill="auto"/>
            <w:vAlign w:val="center"/>
            <w:hideMark/>
          </w:tcPr>
          <w:p w:rsidR="002F4A48" w:rsidRPr="002F4A48" w:rsidRDefault="002F4A48" w:rsidP="002F4A48">
            <w:pPr>
              <w:jc w:val="center"/>
              <w:rPr>
                <w:rFonts w:ascii="Calibri" w:hAnsi="Calibri" w:cs="Arial"/>
                <w:bCs/>
                <w:sz w:val="22"/>
                <w:szCs w:val="22"/>
              </w:rPr>
            </w:pPr>
            <w:r w:rsidRPr="002F4A48">
              <w:rPr>
                <w:rFonts w:ascii="Calibri" w:hAnsi="Calibri" w:cs="Arial"/>
                <w:bCs/>
                <w:sz w:val="22"/>
                <w:szCs w:val="22"/>
              </w:rPr>
              <w:t xml:space="preserve">                                 -   </w:t>
            </w:r>
          </w:p>
        </w:tc>
      </w:tr>
      <w:tr w:rsidR="002F4A48" w:rsidTr="002F4A48">
        <w:trPr>
          <w:trHeight w:val="434"/>
        </w:trPr>
        <w:tc>
          <w:tcPr>
            <w:tcW w:w="3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4A48" w:rsidRPr="002F4A48" w:rsidRDefault="002F4A48">
            <w:pPr>
              <w:rPr>
                <w:rFonts w:ascii="Calibri" w:hAnsi="Calibri" w:cs="Arial"/>
                <w:bCs/>
              </w:rPr>
            </w:pPr>
            <w:r w:rsidRPr="002F4A48">
              <w:rPr>
                <w:rFonts w:ascii="Calibri" w:hAnsi="Calibri" w:cs="Arial"/>
                <w:bCs/>
              </w:rPr>
              <w:t>No of Input Based-Franchisees</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rsidR="002F4A48" w:rsidRPr="002F4A48" w:rsidRDefault="002F4A48" w:rsidP="002F4A48">
            <w:pPr>
              <w:jc w:val="center"/>
              <w:rPr>
                <w:rFonts w:ascii="Calibri" w:hAnsi="Calibri" w:cs="Arial"/>
                <w:bCs/>
                <w:sz w:val="22"/>
                <w:szCs w:val="22"/>
              </w:rPr>
            </w:pPr>
            <w:r w:rsidRPr="002F4A48">
              <w:rPr>
                <w:rFonts w:ascii="Calibri" w:hAnsi="Calibri" w:cs="Arial"/>
                <w:bCs/>
                <w:sz w:val="22"/>
                <w:szCs w:val="22"/>
              </w:rPr>
              <w:t xml:space="preserve">                         1 </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2F4A48" w:rsidRPr="002F4A48" w:rsidRDefault="002F4A48" w:rsidP="002F4A48">
            <w:pPr>
              <w:jc w:val="center"/>
              <w:rPr>
                <w:rFonts w:ascii="Calibri" w:hAnsi="Calibri" w:cs="Arial"/>
                <w:bCs/>
                <w:sz w:val="22"/>
                <w:szCs w:val="22"/>
              </w:rPr>
            </w:pPr>
            <w:r w:rsidRPr="002F4A48">
              <w:rPr>
                <w:rFonts w:ascii="Calibri" w:hAnsi="Calibri" w:cs="Arial"/>
                <w:bCs/>
                <w:sz w:val="22"/>
                <w:szCs w:val="22"/>
              </w:rPr>
              <w:t xml:space="preserve">                                   1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2F4A48" w:rsidRPr="002F4A48" w:rsidRDefault="002F4A48" w:rsidP="002F4A48">
            <w:pPr>
              <w:jc w:val="center"/>
              <w:rPr>
                <w:rFonts w:ascii="Calibri" w:hAnsi="Calibri" w:cs="Arial"/>
                <w:bCs/>
                <w:sz w:val="22"/>
                <w:szCs w:val="22"/>
              </w:rPr>
            </w:pPr>
            <w:r w:rsidRPr="002F4A48">
              <w:rPr>
                <w:rFonts w:ascii="Calibri" w:hAnsi="Calibri" w:cs="Arial"/>
                <w:bCs/>
                <w:sz w:val="22"/>
                <w:szCs w:val="22"/>
              </w:rPr>
              <w:t xml:space="preserve">                                   1 </w:t>
            </w:r>
          </w:p>
        </w:tc>
        <w:tc>
          <w:tcPr>
            <w:tcW w:w="1383" w:type="dxa"/>
            <w:tcBorders>
              <w:top w:val="single" w:sz="4" w:space="0" w:color="auto"/>
              <w:left w:val="nil"/>
              <w:bottom w:val="single" w:sz="4" w:space="0" w:color="auto"/>
              <w:right w:val="single" w:sz="4" w:space="0" w:color="auto"/>
            </w:tcBorders>
            <w:shd w:val="clear" w:color="auto" w:fill="auto"/>
            <w:vAlign w:val="center"/>
            <w:hideMark/>
          </w:tcPr>
          <w:p w:rsidR="002F4A48" w:rsidRPr="002F4A48" w:rsidRDefault="002F4A48" w:rsidP="002F4A48">
            <w:pPr>
              <w:jc w:val="center"/>
              <w:rPr>
                <w:rFonts w:ascii="Calibri" w:hAnsi="Calibri" w:cs="Arial"/>
                <w:bCs/>
                <w:sz w:val="22"/>
                <w:szCs w:val="22"/>
              </w:rPr>
            </w:pPr>
            <w:r w:rsidRPr="002F4A48">
              <w:rPr>
                <w:rFonts w:ascii="Calibri" w:hAnsi="Calibri" w:cs="Arial"/>
                <w:bCs/>
                <w:sz w:val="22"/>
                <w:szCs w:val="22"/>
              </w:rPr>
              <w:t xml:space="preserve">                                  1 </w:t>
            </w:r>
          </w:p>
        </w:tc>
      </w:tr>
      <w:tr w:rsidR="002F4A48" w:rsidTr="002F4A48">
        <w:trPr>
          <w:trHeight w:val="434"/>
        </w:trPr>
        <w:tc>
          <w:tcPr>
            <w:tcW w:w="3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4A48" w:rsidRPr="002F4A48" w:rsidRDefault="002F4A48">
            <w:pPr>
              <w:rPr>
                <w:rFonts w:ascii="Calibri" w:hAnsi="Calibri" w:cs="Arial"/>
                <w:bCs/>
              </w:rPr>
            </w:pPr>
            <w:r w:rsidRPr="002F4A48">
              <w:rPr>
                <w:rFonts w:ascii="Calibri" w:hAnsi="Calibri" w:cs="Arial"/>
                <w:bCs/>
              </w:rPr>
              <w:t>No of Consumers Covered</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rsidR="002F4A48" w:rsidRPr="002F4A48" w:rsidRDefault="002F4A48" w:rsidP="002F4A48">
            <w:pPr>
              <w:jc w:val="center"/>
              <w:rPr>
                <w:rFonts w:ascii="Calibri" w:hAnsi="Calibri" w:cs="Arial"/>
                <w:bCs/>
                <w:sz w:val="22"/>
                <w:szCs w:val="22"/>
              </w:rPr>
            </w:pPr>
            <w:r w:rsidRPr="002F4A48">
              <w:rPr>
                <w:rFonts w:ascii="Calibri" w:hAnsi="Calibri" w:cs="Arial"/>
                <w:bCs/>
                <w:sz w:val="22"/>
                <w:szCs w:val="22"/>
              </w:rPr>
              <w:t xml:space="preserve">               38,350 </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2F4A48" w:rsidRPr="002F4A48" w:rsidRDefault="002F4A48" w:rsidP="002F4A48">
            <w:pPr>
              <w:jc w:val="center"/>
              <w:rPr>
                <w:rFonts w:ascii="Calibri" w:hAnsi="Calibri" w:cs="Arial"/>
                <w:bCs/>
                <w:sz w:val="22"/>
                <w:szCs w:val="22"/>
              </w:rPr>
            </w:pPr>
            <w:r w:rsidRPr="002F4A48">
              <w:rPr>
                <w:rFonts w:ascii="Calibri" w:hAnsi="Calibri" w:cs="Arial"/>
                <w:bCs/>
                <w:sz w:val="22"/>
                <w:szCs w:val="22"/>
              </w:rPr>
              <w:t xml:space="preserve">                        40,005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2F4A48" w:rsidRPr="002F4A48" w:rsidRDefault="002F4A48" w:rsidP="002F4A48">
            <w:pPr>
              <w:jc w:val="center"/>
              <w:rPr>
                <w:rFonts w:ascii="Calibri" w:hAnsi="Calibri" w:cs="Arial"/>
                <w:bCs/>
                <w:sz w:val="22"/>
                <w:szCs w:val="22"/>
              </w:rPr>
            </w:pPr>
            <w:r w:rsidRPr="002F4A48">
              <w:rPr>
                <w:rFonts w:ascii="Calibri" w:hAnsi="Calibri" w:cs="Arial"/>
                <w:bCs/>
                <w:sz w:val="22"/>
                <w:szCs w:val="22"/>
              </w:rPr>
              <w:t xml:space="preserve">                        42,000 </w:t>
            </w:r>
          </w:p>
        </w:tc>
        <w:tc>
          <w:tcPr>
            <w:tcW w:w="1383" w:type="dxa"/>
            <w:tcBorders>
              <w:top w:val="single" w:sz="4" w:space="0" w:color="auto"/>
              <w:left w:val="nil"/>
              <w:bottom w:val="single" w:sz="4" w:space="0" w:color="auto"/>
              <w:right w:val="single" w:sz="4" w:space="0" w:color="auto"/>
            </w:tcBorders>
            <w:shd w:val="clear" w:color="auto" w:fill="auto"/>
            <w:vAlign w:val="center"/>
            <w:hideMark/>
          </w:tcPr>
          <w:p w:rsidR="002F4A48" w:rsidRPr="002F4A48" w:rsidRDefault="002F4A48" w:rsidP="002F4A48">
            <w:pPr>
              <w:jc w:val="center"/>
              <w:rPr>
                <w:rFonts w:ascii="Calibri" w:hAnsi="Calibri" w:cs="Arial"/>
                <w:bCs/>
                <w:sz w:val="22"/>
                <w:szCs w:val="22"/>
              </w:rPr>
            </w:pPr>
            <w:r w:rsidRPr="002F4A48">
              <w:rPr>
                <w:rFonts w:ascii="Calibri" w:hAnsi="Calibri" w:cs="Arial"/>
                <w:bCs/>
                <w:sz w:val="22"/>
                <w:szCs w:val="22"/>
              </w:rPr>
              <w:t xml:space="preserve">                       48,000 </w:t>
            </w:r>
          </w:p>
        </w:tc>
      </w:tr>
      <w:tr w:rsidR="002F4A48" w:rsidTr="002F4A48">
        <w:trPr>
          <w:trHeight w:val="434"/>
        </w:trPr>
        <w:tc>
          <w:tcPr>
            <w:tcW w:w="3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4A48" w:rsidRPr="002F4A48" w:rsidRDefault="002F4A48">
            <w:pPr>
              <w:rPr>
                <w:rFonts w:ascii="Calibri" w:hAnsi="Calibri" w:cs="Arial"/>
                <w:bCs/>
              </w:rPr>
            </w:pPr>
            <w:r w:rsidRPr="002F4A48">
              <w:rPr>
                <w:rFonts w:ascii="Calibri" w:hAnsi="Calibri" w:cs="Arial"/>
                <w:bCs/>
              </w:rPr>
              <w:t>Total no of consumers covered under Franchisee</w:t>
            </w:r>
          </w:p>
        </w:tc>
        <w:tc>
          <w:tcPr>
            <w:tcW w:w="1272" w:type="dxa"/>
            <w:tcBorders>
              <w:top w:val="single" w:sz="4" w:space="0" w:color="auto"/>
              <w:left w:val="nil"/>
              <w:bottom w:val="single" w:sz="4" w:space="0" w:color="auto"/>
              <w:right w:val="single" w:sz="4" w:space="0" w:color="auto"/>
            </w:tcBorders>
            <w:shd w:val="clear" w:color="auto" w:fill="auto"/>
            <w:vAlign w:val="center"/>
            <w:hideMark/>
          </w:tcPr>
          <w:p w:rsidR="002F4A48" w:rsidRPr="002F4A48" w:rsidRDefault="002F4A48" w:rsidP="002F4A48">
            <w:pPr>
              <w:jc w:val="center"/>
              <w:rPr>
                <w:rFonts w:ascii="Calibri" w:hAnsi="Calibri" w:cs="Arial"/>
                <w:bCs/>
                <w:sz w:val="22"/>
                <w:szCs w:val="22"/>
              </w:rPr>
            </w:pPr>
            <w:r w:rsidRPr="002F4A48">
              <w:rPr>
                <w:rFonts w:ascii="Calibri" w:hAnsi="Calibri" w:cs="Arial"/>
                <w:bCs/>
                <w:sz w:val="22"/>
                <w:szCs w:val="22"/>
              </w:rPr>
              <w:t xml:space="preserve">            321,146 </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2F4A48" w:rsidRPr="002F4A48" w:rsidRDefault="002F4A48" w:rsidP="002F4A48">
            <w:pPr>
              <w:jc w:val="center"/>
              <w:rPr>
                <w:rFonts w:ascii="Calibri" w:hAnsi="Calibri" w:cs="Arial"/>
                <w:bCs/>
                <w:sz w:val="22"/>
                <w:szCs w:val="22"/>
              </w:rPr>
            </w:pPr>
            <w:r w:rsidRPr="002F4A48">
              <w:rPr>
                <w:rFonts w:ascii="Calibri" w:hAnsi="Calibri" w:cs="Arial"/>
                <w:bCs/>
                <w:sz w:val="22"/>
                <w:szCs w:val="22"/>
              </w:rPr>
              <w:t xml:space="preserve">                      118,482 </w:t>
            </w:r>
          </w:p>
        </w:tc>
        <w:tc>
          <w:tcPr>
            <w:tcW w:w="1185" w:type="dxa"/>
            <w:tcBorders>
              <w:top w:val="single" w:sz="4" w:space="0" w:color="auto"/>
              <w:left w:val="nil"/>
              <w:bottom w:val="single" w:sz="4" w:space="0" w:color="auto"/>
              <w:right w:val="single" w:sz="4" w:space="0" w:color="auto"/>
            </w:tcBorders>
            <w:shd w:val="clear" w:color="auto" w:fill="auto"/>
            <w:vAlign w:val="center"/>
            <w:hideMark/>
          </w:tcPr>
          <w:p w:rsidR="002F4A48" w:rsidRPr="002F4A48" w:rsidRDefault="002F4A48" w:rsidP="002F4A48">
            <w:pPr>
              <w:jc w:val="center"/>
              <w:rPr>
                <w:rFonts w:ascii="Calibri" w:hAnsi="Calibri" w:cs="Arial"/>
                <w:bCs/>
                <w:sz w:val="22"/>
                <w:szCs w:val="22"/>
              </w:rPr>
            </w:pPr>
            <w:r w:rsidRPr="002F4A48">
              <w:rPr>
                <w:rFonts w:ascii="Calibri" w:hAnsi="Calibri" w:cs="Arial"/>
                <w:bCs/>
                <w:sz w:val="22"/>
                <w:szCs w:val="22"/>
              </w:rPr>
              <w:t xml:space="preserve">                      192,000 </w:t>
            </w:r>
          </w:p>
        </w:tc>
        <w:tc>
          <w:tcPr>
            <w:tcW w:w="1383" w:type="dxa"/>
            <w:tcBorders>
              <w:top w:val="single" w:sz="4" w:space="0" w:color="auto"/>
              <w:left w:val="nil"/>
              <w:bottom w:val="single" w:sz="4" w:space="0" w:color="auto"/>
              <w:right w:val="single" w:sz="4" w:space="0" w:color="auto"/>
            </w:tcBorders>
            <w:shd w:val="clear" w:color="auto" w:fill="auto"/>
            <w:vAlign w:val="center"/>
            <w:hideMark/>
          </w:tcPr>
          <w:p w:rsidR="002F4A48" w:rsidRPr="002F4A48" w:rsidRDefault="002F4A48" w:rsidP="002F4A48">
            <w:pPr>
              <w:jc w:val="center"/>
              <w:rPr>
                <w:rFonts w:ascii="Calibri" w:hAnsi="Calibri" w:cs="Arial"/>
                <w:bCs/>
                <w:sz w:val="22"/>
                <w:szCs w:val="22"/>
              </w:rPr>
            </w:pPr>
            <w:r w:rsidRPr="002F4A48">
              <w:rPr>
                <w:rFonts w:ascii="Calibri" w:hAnsi="Calibri" w:cs="Arial"/>
                <w:bCs/>
                <w:sz w:val="22"/>
                <w:szCs w:val="22"/>
              </w:rPr>
              <w:t xml:space="preserve">                     298,000 </w:t>
            </w:r>
          </w:p>
        </w:tc>
      </w:tr>
    </w:tbl>
    <w:p w:rsidR="004D4EE4" w:rsidRDefault="004D4EE4" w:rsidP="00A70C26">
      <w:pPr>
        <w:spacing w:line="360" w:lineRule="auto"/>
        <w:jc w:val="both"/>
        <w:rPr>
          <w:rFonts w:ascii="Cambria" w:hAnsi="Cambria"/>
          <w:b/>
        </w:rPr>
      </w:pPr>
    </w:p>
    <w:p w:rsidR="00CB2030" w:rsidRDefault="00CE0792" w:rsidP="00CB2030">
      <w:pPr>
        <w:spacing w:line="360" w:lineRule="auto"/>
        <w:jc w:val="both"/>
        <w:rPr>
          <w:rFonts w:ascii="Cambria" w:hAnsi="Cambria"/>
        </w:rPr>
      </w:pPr>
      <w:r w:rsidRPr="00A70C26">
        <w:rPr>
          <w:rFonts w:ascii="Cambria" w:hAnsi="Cambria"/>
          <w:b/>
        </w:rPr>
        <w:lastRenderedPageBreak/>
        <w:t>Present Development, Issues and Strategies:</w:t>
      </w:r>
      <w:r w:rsidRPr="00A70C26">
        <w:rPr>
          <w:rFonts w:ascii="Cambria" w:hAnsi="Cambria"/>
          <w:b/>
        </w:rPr>
        <w:tab/>
        <w:t>O</w:t>
      </w:r>
      <w:r w:rsidRPr="00A70C26">
        <w:rPr>
          <w:rFonts w:ascii="Cambria" w:hAnsi="Cambria"/>
        </w:rPr>
        <w:t xml:space="preserve">ver the years, there has been enormous growth in the number of electricity consumers in various categories due to industrial growth and massive village electrification programs launched by Government under various </w:t>
      </w:r>
      <w:r w:rsidR="00A70C26">
        <w:rPr>
          <w:rFonts w:ascii="Cambria" w:hAnsi="Cambria"/>
        </w:rPr>
        <w:t xml:space="preserve">village electrification </w:t>
      </w:r>
      <w:r w:rsidRPr="00A70C26">
        <w:rPr>
          <w:rFonts w:ascii="Cambria" w:hAnsi="Cambria"/>
        </w:rPr>
        <w:t xml:space="preserve">schemes like RGGVY, DDUJY, IPDS, UJJWAL Yojana </w:t>
      </w:r>
      <w:r w:rsidR="00CB2030">
        <w:rPr>
          <w:rFonts w:ascii="Cambria" w:hAnsi="Cambria"/>
        </w:rPr>
        <w:t>and presently the</w:t>
      </w:r>
      <w:r w:rsidR="00A70C26">
        <w:rPr>
          <w:rFonts w:ascii="Cambria" w:hAnsi="Cambria"/>
        </w:rPr>
        <w:t xml:space="preserve"> SAUBHAGYA </w:t>
      </w:r>
      <w:r w:rsidRPr="00A70C26">
        <w:rPr>
          <w:rFonts w:ascii="Cambria" w:hAnsi="Cambria"/>
        </w:rPr>
        <w:t xml:space="preserve">etc. Due to this there is a massive pressure on the ‘Supply of Electricity’ over the periods and there is an abrupt increase in ‘Input cost of electricity’ of State electricity distribution utilities. Further all most all the new consumers added to baseline are under BPL status by which the billing to and collection from those are duly regulated under policies of Government. On the other hand despite of consumer awareness programs the consumer behavior and motive is unpredictably erratic and unchanged. </w:t>
      </w:r>
    </w:p>
    <w:p w:rsidR="00CB2030" w:rsidRDefault="00CB2030" w:rsidP="00CB2030">
      <w:pPr>
        <w:spacing w:line="360" w:lineRule="auto"/>
        <w:jc w:val="both"/>
        <w:rPr>
          <w:rFonts w:ascii="Cambria" w:hAnsi="Cambria"/>
        </w:rPr>
      </w:pPr>
    </w:p>
    <w:p w:rsidR="00CB2030" w:rsidRDefault="00CE0792" w:rsidP="00CB2030">
      <w:pPr>
        <w:spacing w:line="360" w:lineRule="auto"/>
        <w:jc w:val="both"/>
        <w:rPr>
          <w:rFonts w:ascii="Cambria" w:hAnsi="Cambria"/>
        </w:rPr>
      </w:pPr>
      <w:r w:rsidRPr="00CB2030">
        <w:rPr>
          <w:rFonts w:ascii="Cambria" w:hAnsi="Cambria"/>
        </w:rPr>
        <w:t>On to engagement of franchisee by the Utility in its billing and collection activities though there was some contribution towards growth of revenue but the same was meager and not eye-lashing. As already explained, gradually it became difficult for the Utility to make the agents responsible and accountable for the losses contributed, misdeeds and corrupt practices adopted by their members, due to absence of a systematic, result-oriented, strategic action plan and procedure in such franchisee operation.</w:t>
      </w:r>
    </w:p>
    <w:p w:rsidR="00CB2030" w:rsidRDefault="00CB2030" w:rsidP="00CB2030">
      <w:pPr>
        <w:spacing w:line="360" w:lineRule="auto"/>
        <w:jc w:val="both"/>
        <w:rPr>
          <w:rFonts w:ascii="Cambria" w:hAnsi="Cambria"/>
        </w:rPr>
      </w:pPr>
    </w:p>
    <w:p w:rsidR="00CE0792" w:rsidRPr="00CB2030" w:rsidRDefault="00CE0792" w:rsidP="00CB2030">
      <w:pPr>
        <w:spacing w:line="360" w:lineRule="auto"/>
        <w:jc w:val="both"/>
        <w:rPr>
          <w:rFonts w:ascii="Cambria" w:hAnsi="Cambria"/>
        </w:rPr>
      </w:pPr>
      <w:r w:rsidRPr="00CB2030">
        <w:rPr>
          <w:rFonts w:ascii="Cambria" w:hAnsi="Cambria"/>
        </w:rPr>
        <w:t>Packed-up in high T&amp;D losses associated with lower billing efficiency, high AT&amp;C losses associated with lower collection efficiency, high cost of maintenance, increasing employees and other administrative and finance costs; it became imperative for the Utility to adopt strategic action plans to manage the input and control input other costs.</w:t>
      </w:r>
    </w:p>
    <w:p w:rsidR="00CE0792" w:rsidRPr="00CB2030" w:rsidRDefault="00CE0792" w:rsidP="00CB2030">
      <w:pPr>
        <w:spacing w:line="360" w:lineRule="auto"/>
        <w:jc w:val="both"/>
        <w:rPr>
          <w:rFonts w:ascii="Cambria" w:hAnsi="Cambria"/>
          <w:b/>
        </w:rPr>
      </w:pPr>
      <w:r w:rsidRPr="00CB2030">
        <w:rPr>
          <w:rFonts w:ascii="Cambria" w:hAnsi="Cambria"/>
          <w:b/>
        </w:rPr>
        <w:t xml:space="preserve">Under the present system of engaging franchisees, the Utility has already adopted following action plans on pilot basis w.e.f. </w:t>
      </w:r>
      <w:r w:rsidR="00783A83" w:rsidRPr="00CB2030">
        <w:rPr>
          <w:rFonts w:ascii="Cambria" w:hAnsi="Cambria"/>
          <w:b/>
        </w:rPr>
        <w:t>July</w:t>
      </w:r>
      <w:r w:rsidRPr="00CB2030">
        <w:rPr>
          <w:rFonts w:ascii="Cambria" w:hAnsi="Cambria"/>
          <w:b/>
        </w:rPr>
        <w:t xml:space="preserve">’2017 and gradually with due initiative from the Regulators and Government, the same is to be implemented in a massive way w.e.f </w:t>
      </w:r>
      <w:r w:rsidR="00CB2030">
        <w:rPr>
          <w:rFonts w:ascii="Cambria" w:hAnsi="Cambria"/>
          <w:b/>
        </w:rPr>
        <w:t xml:space="preserve"> </w:t>
      </w:r>
      <w:r w:rsidRPr="00CB2030">
        <w:rPr>
          <w:rFonts w:ascii="Cambria" w:hAnsi="Cambria"/>
          <w:b/>
        </w:rPr>
        <w:t>FY</w:t>
      </w:r>
      <w:r w:rsidR="00FB71EA" w:rsidRPr="00CB2030">
        <w:rPr>
          <w:rFonts w:ascii="Cambria" w:hAnsi="Cambria"/>
          <w:b/>
        </w:rPr>
        <w:t xml:space="preserve"> </w:t>
      </w:r>
      <w:r w:rsidR="00282A6C">
        <w:rPr>
          <w:rFonts w:ascii="Cambria" w:hAnsi="Cambria"/>
          <w:b/>
        </w:rPr>
        <w:t>2020</w:t>
      </w:r>
      <w:r w:rsidRPr="00CB2030">
        <w:rPr>
          <w:rFonts w:ascii="Cambria" w:hAnsi="Cambria"/>
          <w:b/>
        </w:rPr>
        <w:t>-</w:t>
      </w:r>
      <w:r w:rsidR="00282A6C">
        <w:rPr>
          <w:rFonts w:ascii="Cambria" w:hAnsi="Cambria"/>
          <w:b/>
        </w:rPr>
        <w:t>21</w:t>
      </w:r>
      <w:r w:rsidRPr="00CB2030">
        <w:rPr>
          <w:rFonts w:ascii="Cambria" w:hAnsi="Cambria"/>
          <w:b/>
        </w:rPr>
        <w:t>:-</w:t>
      </w:r>
    </w:p>
    <w:p w:rsidR="00CE0792" w:rsidRPr="00A70C26" w:rsidRDefault="00CE0792" w:rsidP="00AF3E12">
      <w:pPr>
        <w:pStyle w:val="ListParagraph"/>
        <w:spacing w:line="360" w:lineRule="auto"/>
        <w:ind w:left="360"/>
        <w:jc w:val="both"/>
        <w:rPr>
          <w:rFonts w:ascii="Cambria" w:hAnsi="Cambria"/>
          <w:sz w:val="24"/>
          <w:szCs w:val="24"/>
        </w:rPr>
      </w:pPr>
    </w:p>
    <w:p w:rsidR="00CE0792" w:rsidRPr="00A70C26" w:rsidRDefault="00CE0792" w:rsidP="00AF3E12">
      <w:pPr>
        <w:pStyle w:val="ListParagraph"/>
        <w:spacing w:line="360" w:lineRule="auto"/>
        <w:ind w:left="360"/>
        <w:jc w:val="both"/>
        <w:rPr>
          <w:rFonts w:ascii="Cambria" w:hAnsi="Cambria"/>
          <w:sz w:val="24"/>
          <w:szCs w:val="24"/>
        </w:rPr>
      </w:pPr>
      <w:r w:rsidRPr="00A70C26">
        <w:rPr>
          <w:rFonts w:ascii="Cambria" w:hAnsi="Cambria"/>
          <w:sz w:val="24"/>
          <w:szCs w:val="24"/>
        </w:rPr>
        <w:t>1.</w:t>
      </w:r>
      <w:r w:rsidRPr="00A70C26">
        <w:rPr>
          <w:rFonts w:ascii="Cambria" w:hAnsi="Cambria"/>
          <w:sz w:val="24"/>
          <w:szCs w:val="24"/>
        </w:rPr>
        <w:tab/>
      </w:r>
      <w:r w:rsidRPr="00A70C26">
        <w:rPr>
          <w:rFonts w:ascii="Cambria" w:hAnsi="Cambria"/>
          <w:b/>
          <w:sz w:val="24"/>
          <w:szCs w:val="24"/>
        </w:rPr>
        <w:t>Manual Money Receipts to be done-away with RCS mode:</w:t>
      </w:r>
      <w:r w:rsidRPr="00A70C26">
        <w:rPr>
          <w:rFonts w:ascii="Cambria" w:hAnsi="Cambria"/>
          <w:sz w:val="24"/>
          <w:szCs w:val="24"/>
        </w:rPr>
        <w:t xml:space="preserve"> Those manual money receipts used for revenue collection activities are now substituted with digital money receipts through machines. The Utility has already communicated the same to all concerned including the collection agents to enable them prepared for the machine mode of collection. A model ‘Revenue Collection System (RCS)’ has been devised; </w:t>
      </w:r>
      <w:r w:rsidRPr="00A70C26">
        <w:rPr>
          <w:rFonts w:ascii="Cambria" w:hAnsi="Cambria"/>
          <w:sz w:val="24"/>
          <w:szCs w:val="24"/>
        </w:rPr>
        <w:lastRenderedPageBreak/>
        <w:t xml:space="preserve">software has been developed and already started operation in various collection-counters of the Utility as well as by the collection agents effectively. </w:t>
      </w:r>
    </w:p>
    <w:p w:rsidR="00CE0792" w:rsidRPr="00A70C26" w:rsidRDefault="00CE0792" w:rsidP="00AF3E12">
      <w:pPr>
        <w:pStyle w:val="ListParagraph"/>
        <w:spacing w:line="360" w:lineRule="auto"/>
        <w:ind w:left="360"/>
        <w:jc w:val="both"/>
        <w:rPr>
          <w:rFonts w:ascii="Cambria" w:hAnsi="Cambria"/>
          <w:sz w:val="24"/>
          <w:szCs w:val="24"/>
        </w:rPr>
      </w:pPr>
      <w:r w:rsidRPr="00A70C26">
        <w:rPr>
          <w:rFonts w:ascii="Cambria" w:hAnsi="Cambria"/>
          <w:sz w:val="24"/>
          <w:szCs w:val="24"/>
        </w:rPr>
        <w:t xml:space="preserve">Under RCS, the agent has to arrange necessary machines and stationeries however the Utility shall provide necessary front-end software. As such, before starting operation under RCS, the agent has to deposit a lump-sum amount with the Utility for a top-up credit which will be tagged to their machine besides performance security deposit. The agent shall go on collecting the revenue and issue digital money receipts to the consumers, soon after which the information of such collection reaches the Utility and the collection amount reduces the top-up credit automatically. Before it vanishes, the agent has to take a fresh top-up after depositing the collected revenue in designated bank account of the Utility within a time frame in order to avoid penalty and interruption in collection activity. In this way the lump-sum deposited by the collection agent gets rotated and the Utility will be in a position to- </w:t>
      </w:r>
    </w:p>
    <w:p w:rsidR="00CE0792" w:rsidRPr="00A70C26" w:rsidRDefault="00CE0792" w:rsidP="00AF3E12">
      <w:pPr>
        <w:pStyle w:val="ListParagraph"/>
        <w:spacing w:line="360" w:lineRule="auto"/>
        <w:ind w:left="360"/>
        <w:jc w:val="both"/>
        <w:rPr>
          <w:rFonts w:ascii="Cambria" w:hAnsi="Cambria"/>
          <w:sz w:val="24"/>
          <w:szCs w:val="24"/>
        </w:rPr>
      </w:pPr>
      <w:r w:rsidRPr="00A70C26">
        <w:rPr>
          <w:rFonts w:ascii="Cambria" w:hAnsi="Cambria"/>
          <w:sz w:val="24"/>
          <w:szCs w:val="24"/>
        </w:rPr>
        <w:t xml:space="preserve">(a) </w:t>
      </w:r>
      <w:r w:rsidR="00571820">
        <w:rPr>
          <w:rFonts w:ascii="Cambria" w:hAnsi="Cambria"/>
          <w:sz w:val="24"/>
          <w:szCs w:val="24"/>
        </w:rPr>
        <w:t xml:space="preserve">have </w:t>
      </w:r>
      <w:r w:rsidRPr="00A70C26">
        <w:rPr>
          <w:rFonts w:ascii="Cambria" w:hAnsi="Cambria"/>
          <w:sz w:val="24"/>
          <w:szCs w:val="24"/>
        </w:rPr>
        <w:t>the collection amount in advance;</w:t>
      </w:r>
    </w:p>
    <w:p w:rsidR="00CE0792" w:rsidRPr="00A70C26" w:rsidRDefault="00CE0792" w:rsidP="00AF3E12">
      <w:pPr>
        <w:pStyle w:val="ListParagraph"/>
        <w:spacing w:line="360" w:lineRule="auto"/>
        <w:ind w:left="360"/>
        <w:jc w:val="both"/>
        <w:rPr>
          <w:rFonts w:ascii="Cambria" w:hAnsi="Cambria"/>
          <w:sz w:val="24"/>
          <w:szCs w:val="24"/>
        </w:rPr>
      </w:pPr>
      <w:r w:rsidRPr="00A70C26">
        <w:rPr>
          <w:rFonts w:ascii="Cambria" w:hAnsi="Cambria"/>
          <w:sz w:val="24"/>
          <w:szCs w:val="24"/>
        </w:rPr>
        <w:t>(b) know the collection information in real time which is faster than before;</w:t>
      </w:r>
    </w:p>
    <w:p w:rsidR="00CE0792" w:rsidRPr="00A70C26" w:rsidRDefault="00CE0792" w:rsidP="00AF3E12">
      <w:pPr>
        <w:pStyle w:val="ListParagraph"/>
        <w:spacing w:line="360" w:lineRule="auto"/>
        <w:ind w:left="360"/>
        <w:jc w:val="both"/>
        <w:rPr>
          <w:rFonts w:ascii="Cambria" w:hAnsi="Cambria"/>
          <w:sz w:val="24"/>
          <w:szCs w:val="24"/>
        </w:rPr>
      </w:pPr>
      <w:r w:rsidRPr="00A70C26">
        <w:rPr>
          <w:rFonts w:ascii="Cambria" w:hAnsi="Cambria"/>
          <w:sz w:val="24"/>
          <w:szCs w:val="24"/>
        </w:rPr>
        <w:t>(c) avoid misutilisation and tampering of money receipts by manual intervention; and</w:t>
      </w:r>
    </w:p>
    <w:p w:rsidR="00CE0792" w:rsidRPr="00A70C26" w:rsidRDefault="00CE0792" w:rsidP="00AF3E12">
      <w:pPr>
        <w:pStyle w:val="ListParagraph"/>
        <w:spacing w:line="360" w:lineRule="auto"/>
        <w:ind w:left="360"/>
        <w:jc w:val="both"/>
        <w:rPr>
          <w:rFonts w:ascii="Cambria" w:hAnsi="Cambria"/>
          <w:sz w:val="24"/>
          <w:szCs w:val="24"/>
        </w:rPr>
      </w:pPr>
      <w:r w:rsidRPr="00A70C26">
        <w:rPr>
          <w:rFonts w:ascii="Cambria" w:hAnsi="Cambria"/>
          <w:sz w:val="24"/>
          <w:szCs w:val="24"/>
        </w:rPr>
        <w:t xml:space="preserve">(d) exercise better control on collection activities than earlier. </w:t>
      </w:r>
    </w:p>
    <w:p w:rsidR="00CE0792" w:rsidRPr="00A70C26" w:rsidRDefault="00CE0792" w:rsidP="00AF3E12">
      <w:pPr>
        <w:pStyle w:val="ListParagraph"/>
        <w:spacing w:line="360" w:lineRule="auto"/>
        <w:ind w:left="360"/>
        <w:jc w:val="both"/>
        <w:rPr>
          <w:rFonts w:ascii="Cambria" w:hAnsi="Cambria"/>
          <w:sz w:val="24"/>
          <w:szCs w:val="24"/>
        </w:rPr>
      </w:pPr>
    </w:p>
    <w:p w:rsidR="00CE0792" w:rsidRPr="00A70C26" w:rsidRDefault="00CE0792" w:rsidP="00AF3E12">
      <w:pPr>
        <w:pStyle w:val="ListParagraph"/>
        <w:spacing w:line="360" w:lineRule="auto"/>
        <w:ind w:left="360"/>
        <w:jc w:val="both"/>
        <w:rPr>
          <w:rFonts w:ascii="Cambria" w:hAnsi="Cambria"/>
          <w:sz w:val="24"/>
          <w:szCs w:val="24"/>
        </w:rPr>
      </w:pPr>
      <w:r w:rsidRPr="00A70C26">
        <w:rPr>
          <w:rFonts w:ascii="Cambria" w:hAnsi="Cambria"/>
          <w:sz w:val="24"/>
          <w:szCs w:val="24"/>
        </w:rPr>
        <w:t>2.</w:t>
      </w:r>
      <w:r w:rsidRPr="00A70C26">
        <w:rPr>
          <w:rFonts w:ascii="Cambria" w:hAnsi="Cambria"/>
          <w:sz w:val="24"/>
          <w:szCs w:val="24"/>
        </w:rPr>
        <w:tab/>
      </w:r>
      <w:r w:rsidRPr="00A70C26">
        <w:rPr>
          <w:rFonts w:ascii="Cambria" w:hAnsi="Cambria"/>
          <w:b/>
          <w:sz w:val="24"/>
          <w:szCs w:val="24"/>
        </w:rPr>
        <w:t>Massive disconnection drive:</w:t>
      </w:r>
      <w:r w:rsidRPr="00A70C26">
        <w:rPr>
          <w:rFonts w:ascii="Cambria" w:hAnsi="Cambria"/>
          <w:sz w:val="24"/>
          <w:szCs w:val="24"/>
        </w:rPr>
        <w:t xml:space="preserve"> </w:t>
      </w:r>
      <w:r w:rsidRPr="00A70C26">
        <w:rPr>
          <w:rFonts w:ascii="Cambria" w:hAnsi="Cambria"/>
          <w:sz w:val="24"/>
          <w:szCs w:val="24"/>
        </w:rPr>
        <w:tab/>
        <w:t>The Utility has already started operating disconnection drives through outsourced agencies preferably those are on the job of revenue collection activities. This is going to be massive in days to come and purposefully w.e.f. FY</w:t>
      </w:r>
      <w:r w:rsidR="00571820">
        <w:rPr>
          <w:rFonts w:ascii="Cambria" w:hAnsi="Cambria"/>
          <w:sz w:val="24"/>
          <w:szCs w:val="24"/>
        </w:rPr>
        <w:t xml:space="preserve"> </w:t>
      </w:r>
      <w:r w:rsidR="00282A6C">
        <w:rPr>
          <w:rFonts w:ascii="Cambria" w:hAnsi="Cambria"/>
          <w:sz w:val="24"/>
          <w:szCs w:val="24"/>
        </w:rPr>
        <w:t>20</w:t>
      </w:r>
      <w:r w:rsidR="00CB2030">
        <w:rPr>
          <w:rFonts w:ascii="Cambria" w:hAnsi="Cambria"/>
          <w:sz w:val="24"/>
          <w:szCs w:val="24"/>
        </w:rPr>
        <w:t>20</w:t>
      </w:r>
      <w:r w:rsidR="00282A6C">
        <w:rPr>
          <w:rFonts w:ascii="Cambria" w:hAnsi="Cambria"/>
          <w:sz w:val="24"/>
          <w:szCs w:val="24"/>
        </w:rPr>
        <w:t>-21</w:t>
      </w:r>
      <w:r w:rsidRPr="00A70C26">
        <w:rPr>
          <w:rFonts w:ascii="Cambria" w:hAnsi="Cambria"/>
          <w:sz w:val="24"/>
          <w:szCs w:val="24"/>
        </w:rPr>
        <w:t xml:space="preserve"> for which one </w:t>
      </w:r>
      <w:r w:rsidR="00CB2030">
        <w:rPr>
          <w:rFonts w:ascii="Cambria" w:hAnsi="Cambria"/>
          <w:sz w:val="24"/>
          <w:szCs w:val="24"/>
        </w:rPr>
        <w:t xml:space="preserve">Vigilance &amp; </w:t>
      </w:r>
      <w:r w:rsidRPr="00A70C26">
        <w:rPr>
          <w:rFonts w:ascii="Cambria" w:hAnsi="Cambria"/>
          <w:sz w:val="24"/>
          <w:szCs w:val="24"/>
        </w:rPr>
        <w:t>Enforcement Cell has been created at Head-quarter to monitor and control such activities.</w:t>
      </w:r>
    </w:p>
    <w:p w:rsidR="00CE0792" w:rsidRPr="00A70C26" w:rsidRDefault="00CE0792" w:rsidP="00AF3E12">
      <w:pPr>
        <w:pStyle w:val="ListParagraph"/>
        <w:spacing w:line="360" w:lineRule="auto"/>
        <w:ind w:left="360"/>
        <w:jc w:val="both"/>
        <w:rPr>
          <w:rFonts w:ascii="Cambria" w:hAnsi="Cambria"/>
          <w:sz w:val="24"/>
          <w:szCs w:val="24"/>
        </w:rPr>
      </w:pPr>
    </w:p>
    <w:p w:rsidR="00CE0792" w:rsidRPr="00A70C26" w:rsidRDefault="00CE0792" w:rsidP="00AF3E12">
      <w:pPr>
        <w:pStyle w:val="ListParagraph"/>
        <w:spacing w:line="360" w:lineRule="auto"/>
        <w:ind w:left="360"/>
        <w:jc w:val="both"/>
        <w:rPr>
          <w:rFonts w:ascii="Cambria" w:hAnsi="Cambria"/>
          <w:sz w:val="24"/>
          <w:szCs w:val="24"/>
        </w:rPr>
      </w:pPr>
      <w:r w:rsidRPr="00A70C26">
        <w:rPr>
          <w:rFonts w:ascii="Cambria" w:hAnsi="Cambria"/>
          <w:sz w:val="24"/>
          <w:szCs w:val="24"/>
        </w:rPr>
        <w:t>3.</w:t>
      </w:r>
      <w:r w:rsidRPr="00A70C26">
        <w:rPr>
          <w:rFonts w:ascii="Cambria" w:hAnsi="Cambria"/>
          <w:sz w:val="24"/>
          <w:szCs w:val="24"/>
        </w:rPr>
        <w:tab/>
      </w:r>
      <w:r w:rsidRPr="00A70C26">
        <w:rPr>
          <w:rFonts w:ascii="Cambria" w:hAnsi="Cambria"/>
          <w:b/>
          <w:sz w:val="24"/>
          <w:szCs w:val="24"/>
        </w:rPr>
        <w:t>Massive Vigilance and Metering drives:</w:t>
      </w:r>
      <w:r w:rsidRPr="00A70C26">
        <w:rPr>
          <w:rFonts w:ascii="Cambria" w:hAnsi="Cambria"/>
          <w:sz w:val="24"/>
          <w:szCs w:val="24"/>
        </w:rPr>
        <w:t xml:space="preserve"> </w:t>
      </w:r>
      <w:r w:rsidRPr="00A70C26">
        <w:rPr>
          <w:rFonts w:ascii="Cambria" w:hAnsi="Cambria"/>
          <w:sz w:val="24"/>
          <w:szCs w:val="24"/>
        </w:rPr>
        <w:tab/>
      </w:r>
      <w:r w:rsidRPr="00A70C26">
        <w:rPr>
          <w:rFonts w:ascii="Cambria" w:hAnsi="Cambria"/>
          <w:sz w:val="24"/>
          <w:szCs w:val="24"/>
        </w:rPr>
        <w:tab/>
        <w:t>The Utility has also started operating vigilance activities in a massive way. The vigilance teams are being provided by the outsourced agencies preferably those are in the job of revenue collection activities. A vigilance software module has been devised, the Enforcement Cell at Head-quarter in co-ordination with the MRT Circles has already started close monitoring and identifying the metering and load status of the consumers. The erring consumers are being penalized, where ever detected meters have been replaced.</w:t>
      </w:r>
    </w:p>
    <w:p w:rsidR="00CE0792" w:rsidRPr="00A70C26" w:rsidRDefault="00CE0792" w:rsidP="00AF3E12">
      <w:pPr>
        <w:pStyle w:val="ListParagraph"/>
        <w:spacing w:line="360" w:lineRule="auto"/>
        <w:ind w:left="360"/>
        <w:jc w:val="both"/>
        <w:rPr>
          <w:rFonts w:ascii="Cambria" w:hAnsi="Cambria"/>
          <w:sz w:val="24"/>
          <w:szCs w:val="24"/>
        </w:rPr>
      </w:pPr>
    </w:p>
    <w:p w:rsidR="00CE0792" w:rsidRPr="00A70C26" w:rsidRDefault="00CE0792" w:rsidP="00AF3E12">
      <w:pPr>
        <w:pStyle w:val="ListParagraph"/>
        <w:spacing w:after="0" w:line="360" w:lineRule="auto"/>
        <w:ind w:left="360"/>
        <w:jc w:val="both"/>
        <w:rPr>
          <w:rFonts w:ascii="Cambria" w:hAnsi="Cambria"/>
          <w:sz w:val="24"/>
          <w:szCs w:val="24"/>
        </w:rPr>
      </w:pPr>
      <w:r w:rsidRPr="00A70C26">
        <w:rPr>
          <w:rFonts w:ascii="Cambria" w:hAnsi="Cambria"/>
          <w:sz w:val="24"/>
          <w:szCs w:val="24"/>
        </w:rPr>
        <w:lastRenderedPageBreak/>
        <w:t>The input and investment based distribution franchisee model has evolved as a means to break the vicious circle of low realization, low investment, low consumer satisfaction and in turn low growth.</w:t>
      </w:r>
    </w:p>
    <w:p w:rsidR="00C517C8" w:rsidRDefault="00A02335" w:rsidP="006935E2">
      <w:pPr>
        <w:pStyle w:val="Heading1"/>
        <w:numPr>
          <w:ilvl w:val="1"/>
          <w:numId w:val="10"/>
        </w:numPr>
        <w:spacing w:line="360" w:lineRule="auto"/>
        <w:jc w:val="both"/>
        <w:rPr>
          <w:rFonts w:ascii="Cambria" w:hAnsi="Cambria"/>
          <w:sz w:val="24"/>
          <w:szCs w:val="24"/>
        </w:rPr>
      </w:pPr>
      <w:bookmarkStart w:id="72" w:name="_Toc25850958"/>
      <w:r>
        <w:rPr>
          <w:rFonts w:ascii="Cambria" w:hAnsi="Cambria"/>
          <w:sz w:val="24"/>
          <w:szCs w:val="24"/>
        </w:rPr>
        <w:t xml:space="preserve">Action plan </w:t>
      </w:r>
      <w:r w:rsidR="00C517C8" w:rsidRPr="00C517C8">
        <w:rPr>
          <w:rFonts w:ascii="Cambria" w:hAnsi="Cambria"/>
          <w:sz w:val="24"/>
          <w:szCs w:val="24"/>
        </w:rPr>
        <w:t>for Revenue Improvement:</w:t>
      </w:r>
      <w:bookmarkEnd w:id="72"/>
    </w:p>
    <w:p w:rsidR="002846F4" w:rsidRDefault="00A02335" w:rsidP="002846F4">
      <w:pPr>
        <w:pStyle w:val="ListParagraph"/>
        <w:spacing w:line="360" w:lineRule="auto"/>
        <w:ind w:left="360"/>
        <w:jc w:val="both"/>
        <w:rPr>
          <w:rFonts w:ascii="Cambria" w:hAnsi="Cambria"/>
          <w:sz w:val="24"/>
          <w:szCs w:val="24"/>
        </w:rPr>
      </w:pPr>
      <w:r w:rsidRPr="00A02335">
        <w:rPr>
          <w:rFonts w:ascii="Cambria" w:hAnsi="Cambria"/>
          <w:sz w:val="24"/>
          <w:szCs w:val="24"/>
        </w:rPr>
        <w:t>The consumer st</w:t>
      </w:r>
      <w:r w:rsidR="00891620">
        <w:rPr>
          <w:rFonts w:ascii="Cambria" w:hAnsi="Cambria"/>
          <w:sz w:val="24"/>
          <w:szCs w:val="24"/>
        </w:rPr>
        <w:t>rength of N</w:t>
      </w:r>
      <w:r w:rsidR="00CB2030">
        <w:rPr>
          <w:rFonts w:ascii="Cambria" w:hAnsi="Cambria"/>
          <w:sz w:val="24"/>
          <w:szCs w:val="24"/>
        </w:rPr>
        <w:t xml:space="preserve">ESCO Utility is approx. </w:t>
      </w:r>
      <w:r w:rsidR="00823071">
        <w:rPr>
          <w:rFonts w:ascii="Cambria" w:hAnsi="Cambria"/>
          <w:sz w:val="24"/>
          <w:szCs w:val="24"/>
        </w:rPr>
        <w:t>18.55</w:t>
      </w:r>
      <w:r w:rsidRPr="00A02335">
        <w:rPr>
          <w:rFonts w:ascii="Cambria" w:hAnsi="Cambria"/>
          <w:sz w:val="24"/>
          <w:szCs w:val="24"/>
        </w:rPr>
        <w:t xml:space="preserve"> lacs as on date &amp; the nos. are gradually increasing due to different Govt. Schemes like BGJY, BSVY, RGGVY. The Government of India has launched a new electrification scheme </w:t>
      </w:r>
      <w:r>
        <w:rPr>
          <w:rFonts w:ascii="Cambria" w:hAnsi="Cambria"/>
          <w:sz w:val="24"/>
          <w:szCs w:val="24"/>
        </w:rPr>
        <w:t xml:space="preserve">namely </w:t>
      </w:r>
      <w:r w:rsidRPr="00A02335">
        <w:rPr>
          <w:rFonts w:ascii="Cambria" w:hAnsi="Cambria"/>
          <w:sz w:val="24"/>
          <w:szCs w:val="24"/>
        </w:rPr>
        <w:t>S</w:t>
      </w:r>
      <w:r>
        <w:rPr>
          <w:rFonts w:ascii="Cambria" w:hAnsi="Cambria"/>
          <w:sz w:val="24"/>
          <w:szCs w:val="24"/>
        </w:rPr>
        <w:t>A</w:t>
      </w:r>
      <w:r w:rsidRPr="00A02335">
        <w:rPr>
          <w:rFonts w:ascii="Cambria" w:hAnsi="Cambria"/>
          <w:sz w:val="24"/>
          <w:szCs w:val="24"/>
        </w:rPr>
        <w:t xml:space="preserve">UBHAGYA to give power supply connection to every household free </w:t>
      </w:r>
      <w:r w:rsidR="00CB2030">
        <w:rPr>
          <w:rFonts w:ascii="Cambria" w:hAnsi="Cambria"/>
          <w:sz w:val="24"/>
          <w:szCs w:val="24"/>
        </w:rPr>
        <w:t>of</w:t>
      </w:r>
      <w:r w:rsidR="00823071">
        <w:rPr>
          <w:rFonts w:ascii="Cambria" w:hAnsi="Cambria"/>
          <w:sz w:val="24"/>
          <w:szCs w:val="24"/>
        </w:rPr>
        <w:t xml:space="preserve"> cost. </w:t>
      </w:r>
      <w:r w:rsidRPr="00A02335">
        <w:rPr>
          <w:rFonts w:ascii="Cambria" w:hAnsi="Cambria"/>
          <w:sz w:val="24"/>
          <w:szCs w:val="24"/>
        </w:rPr>
        <w:t xml:space="preserve">The </w:t>
      </w:r>
      <w:r>
        <w:rPr>
          <w:rFonts w:ascii="Cambria" w:hAnsi="Cambria"/>
          <w:sz w:val="24"/>
          <w:szCs w:val="24"/>
        </w:rPr>
        <w:t xml:space="preserve">utility </w:t>
      </w:r>
      <w:r w:rsidRPr="00A02335">
        <w:rPr>
          <w:rFonts w:ascii="Cambria" w:hAnsi="Cambria"/>
          <w:sz w:val="24"/>
          <w:szCs w:val="24"/>
        </w:rPr>
        <w:t xml:space="preserve">has adopted various </w:t>
      </w:r>
      <w:r>
        <w:rPr>
          <w:rFonts w:ascii="Cambria" w:hAnsi="Cambria"/>
          <w:sz w:val="24"/>
          <w:szCs w:val="24"/>
        </w:rPr>
        <w:t xml:space="preserve">measures </w:t>
      </w:r>
      <w:r w:rsidRPr="00A02335">
        <w:rPr>
          <w:rFonts w:ascii="Cambria" w:hAnsi="Cambria"/>
          <w:sz w:val="24"/>
          <w:szCs w:val="24"/>
        </w:rPr>
        <w:t xml:space="preserve">in the fields like Input, Metering, Billing, Collection, Vigilance &amp; Consumer Indexing to reduce the loss level. The proper guidelines in these areas are being sent to all the divisions from the head office on quarterly basis &amp; the monthly action plan is being prepared at the division level for actual field implementation. </w:t>
      </w:r>
    </w:p>
    <w:p w:rsidR="00A02335" w:rsidRPr="002846F4" w:rsidRDefault="00A02335" w:rsidP="002846F4">
      <w:pPr>
        <w:pStyle w:val="ListParagraph"/>
        <w:spacing w:line="360" w:lineRule="auto"/>
        <w:ind w:left="360"/>
        <w:jc w:val="both"/>
        <w:rPr>
          <w:rFonts w:ascii="Cambria" w:hAnsi="Cambria"/>
          <w:b/>
        </w:rPr>
      </w:pPr>
      <w:r w:rsidRPr="002846F4">
        <w:rPr>
          <w:rFonts w:ascii="Cambria" w:hAnsi="Cambria"/>
          <w:b/>
        </w:rPr>
        <w:t>INPUT CONTROL</w:t>
      </w:r>
    </w:p>
    <w:p w:rsidR="00783A83" w:rsidRPr="00E86106" w:rsidRDefault="00783A83" w:rsidP="00783A83">
      <w:pPr>
        <w:pStyle w:val="ListParagraph"/>
        <w:spacing w:after="0" w:line="240" w:lineRule="auto"/>
        <w:jc w:val="both"/>
        <w:rPr>
          <w:rFonts w:ascii="Book Antiqua" w:hAnsi="Book Antiqua"/>
          <w:b/>
          <w:sz w:val="24"/>
          <w:u w:val="single"/>
        </w:rPr>
      </w:pPr>
    </w:p>
    <w:p w:rsidR="00783A83" w:rsidRPr="00823071" w:rsidRDefault="00783A83" w:rsidP="00783A83">
      <w:pPr>
        <w:ind w:firstLine="360"/>
        <w:rPr>
          <w:rFonts w:asciiTheme="majorHAnsi" w:hAnsiTheme="majorHAnsi"/>
        </w:rPr>
      </w:pPr>
      <w:r w:rsidRPr="00823071">
        <w:rPr>
          <w:rFonts w:asciiTheme="majorHAnsi" w:hAnsiTheme="majorHAnsi"/>
        </w:rPr>
        <w:t>Following steps are formulated to regulate the input in LT level.</w:t>
      </w:r>
    </w:p>
    <w:p w:rsidR="00783A83" w:rsidRPr="00823071" w:rsidRDefault="00783A83" w:rsidP="006935E2">
      <w:pPr>
        <w:pStyle w:val="ListParagraph"/>
        <w:numPr>
          <w:ilvl w:val="0"/>
          <w:numId w:val="20"/>
        </w:numPr>
        <w:spacing w:after="0" w:line="240" w:lineRule="auto"/>
        <w:jc w:val="both"/>
        <w:rPr>
          <w:rFonts w:asciiTheme="majorHAnsi" w:hAnsiTheme="majorHAnsi"/>
          <w:sz w:val="24"/>
          <w:szCs w:val="24"/>
        </w:rPr>
      </w:pPr>
      <w:r w:rsidRPr="00823071">
        <w:rPr>
          <w:rFonts w:asciiTheme="majorHAnsi" w:hAnsiTheme="majorHAnsi"/>
          <w:sz w:val="24"/>
          <w:szCs w:val="24"/>
        </w:rPr>
        <w:t>De hooking at field level &amp; regularization thereafter.</w:t>
      </w:r>
    </w:p>
    <w:p w:rsidR="00783A83" w:rsidRPr="00823071" w:rsidRDefault="00783A83" w:rsidP="006935E2">
      <w:pPr>
        <w:pStyle w:val="ListParagraph"/>
        <w:numPr>
          <w:ilvl w:val="0"/>
          <w:numId w:val="20"/>
        </w:numPr>
        <w:spacing w:after="0" w:line="240" w:lineRule="auto"/>
        <w:jc w:val="both"/>
        <w:rPr>
          <w:rFonts w:asciiTheme="majorHAnsi" w:hAnsiTheme="majorHAnsi"/>
          <w:sz w:val="24"/>
          <w:szCs w:val="24"/>
        </w:rPr>
      </w:pPr>
      <w:r w:rsidRPr="00823071">
        <w:rPr>
          <w:rFonts w:asciiTheme="majorHAnsi" w:hAnsiTheme="majorHAnsi"/>
          <w:sz w:val="24"/>
          <w:szCs w:val="24"/>
        </w:rPr>
        <w:t>Trimming of tree branches especially in LT network.</w:t>
      </w:r>
    </w:p>
    <w:p w:rsidR="00783A83" w:rsidRPr="00823071" w:rsidRDefault="00783A83" w:rsidP="006935E2">
      <w:pPr>
        <w:pStyle w:val="ListParagraph"/>
        <w:numPr>
          <w:ilvl w:val="0"/>
          <w:numId w:val="20"/>
        </w:numPr>
        <w:spacing w:after="0" w:line="240" w:lineRule="auto"/>
        <w:jc w:val="both"/>
        <w:rPr>
          <w:rFonts w:asciiTheme="majorHAnsi" w:hAnsiTheme="majorHAnsi"/>
          <w:sz w:val="24"/>
          <w:szCs w:val="24"/>
        </w:rPr>
      </w:pPr>
      <w:r w:rsidRPr="00823071">
        <w:rPr>
          <w:rFonts w:asciiTheme="majorHAnsi" w:hAnsiTheme="majorHAnsi"/>
          <w:sz w:val="24"/>
          <w:szCs w:val="24"/>
        </w:rPr>
        <w:t>Special emphasis on new service connection without delay in bringing to billing fold.</w:t>
      </w:r>
    </w:p>
    <w:p w:rsidR="00783A83" w:rsidRPr="00823071" w:rsidRDefault="00783A83" w:rsidP="006935E2">
      <w:pPr>
        <w:pStyle w:val="ListParagraph"/>
        <w:numPr>
          <w:ilvl w:val="0"/>
          <w:numId w:val="20"/>
        </w:numPr>
        <w:spacing w:after="0" w:line="240" w:lineRule="auto"/>
        <w:jc w:val="both"/>
        <w:rPr>
          <w:rFonts w:asciiTheme="majorHAnsi" w:hAnsiTheme="majorHAnsi"/>
          <w:sz w:val="24"/>
          <w:szCs w:val="24"/>
        </w:rPr>
      </w:pPr>
      <w:r w:rsidRPr="00823071">
        <w:rPr>
          <w:rFonts w:asciiTheme="majorHAnsi" w:hAnsiTheme="majorHAnsi"/>
          <w:sz w:val="24"/>
          <w:szCs w:val="24"/>
        </w:rPr>
        <w:t>Total energy audit of all DTR connected to 11 KV as a pilot project.</w:t>
      </w:r>
    </w:p>
    <w:p w:rsidR="00783A83" w:rsidRPr="00823071" w:rsidRDefault="00783A83" w:rsidP="006935E2">
      <w:pPr>
        <w:pStyle w:val="ListParagraph"/>
        <w:numPr>
          <w:ilvl w:val="0"/>
          <w:numId w:val="20"/>
        </w:numPr>
        <w:spacing w:after="0" w:line="240" w:lineRule="auto"/>
        <w:jc w:val="both"/>
        <w:rPr>
          <w:rFonts w:asciiTheme="majorHAnsi" w:hAnsiTheme="majorHAnsi"/>
          <w:sz w:val="24"/>
          <w:szCs w:val="24"/>
        </w:rPr>
      </w:pPr>
      <w:r w:rsidRPr="00823071">
        <w:rPr>
          <w:rFonts w:asciiTheme="majorHAnsi" w:hAnsiTheme="majorHAnsi"/>
          <w:sz w:val="24"/>
          <w:szCs w:val="24"/>
        </w:rPr>
        <w:t>Organizing mass de hooking  (All JEs and SDOs in specific areas)</w:t>
      </w:r>
    </w:p>
    <w:p w:rsidR="00783A83" w:rsidRPr="00823071" w:rsidRDefault="00783A83" w:rsidP="006935E2">
      <w:pPr>
        <w:pStyle w:val="ListParagraph"/>
        <w:numPr>
          <w:ilvl w:val="0"/>
          <w:numId w:val="20"/>
        </w:numPr>
        <w:spacing w:after="0" w:line="240" w:lineRule="auto"/>
        <w:jc w:val="both"/>
        <w:rPr>
          <w:rFonts w:asciiTheme="majorHAnsi" w:hAnsiTheme="majorHAnsi"/>
          <w:sz w:val="24"/>
          <w:szCs w:val="24"/>
        </w:rPr>
      </w:pPr>
      <w:r w:rsidRPr="00823071">
        <w:rPr>
          <w:rFonts w:asciiTheme="majorHAnsi" w:hAnsiTheme="majorHAnsi"/>
          <w:sz w:val="24"/>
          <w:szCs w:val="24"/>
        </w:rPr>
        <w:t>Double jumpering of HT lines (Especially  high load carrying feeders)</w:t>
      </w:r>
    </w:p>
    <w:p w:rsidR="00783A83" w:rsidRPr="00823071" w:rsidRDefault="00783A83" w:rsidP="006935E2">
      <w:pPr>
        <w:pStyle w:val="ListParagraph"/>
        <w:numPr>
          <w:ilvl w:val="0"/>
          <w:numId w:val="20"/>
        </w:numPr>
        <w:spacing w:after="0" w:line="240" w:lineRule="auto"/>
        <w:jc w:val="both"/>
        <w:rPr>
          <w:rFonts w:asciiTheme="majorHAnsi" w:hAnsiTheme="majorHAnsi"/>
          <w:sz w:val="24"/>
          <w:szCs w:val="24"/>
        </w:rPr>
      </w:pPr>
      <w:r w:rsidRPr="00823071">
        <w:rPr>
          <w:rFonts w:asciiTheme="majorHAnsi" w:hAnsiTheme="majorHAnsi"/>
          <w:sz w:val="24"/>
          <w:szCs w:val="24"/>
        </w:rPr>
        <w:t>Maintenance of AB switches.</w:t>
      </w:r>
    </w:p>
    <w:p w:rsidR="00783A83" w:rsidRPr="00823071" w:rsidRDefault="00783A83" w:rsidP="006935E2">
      <w:pPr>
        <w:pStyle w:val="ListParagraph"/>
        <w:numPr>
          <w:ilvl w:val="0"/>
          <w:numId w:val="20"/>
        </w:numPr>
        <w:spacing w:after="0" w:line="240" w:lineRule="auto"/>
        <w:jc w:val="both"/>
        <w:rPr>
          <w:rFonts w:asciiTheme="majorHAnsi" w:hAnsiTheme="majorHAnsi"/>
          <w:sz w:val="24"/>
          <w:szCs w:val="24"/>
        </w:rPr>
      </w:pPr>
      <w:r w:rsidRPr="00823071">
        <w:rPr>
          <w:rFonts w:asciiTheme="majorHAnsi" w:hAnsiTheme="majorHAnsi"/>
          <w:sz w:val="24"/>
          <w:szCs w:val="24"/>
        </w:rPr>
        <w:t>Load balancing targeted in section level.</w:t>
      </w:r>
    </w:p>
    <w:p w:rsidR="00783A83" w:rsidRPr="00823071" w:rsidRDefault="00783A83" w:rsidP="006935E2">
      <w:pPr>
        <w:pStyle w:val="ListParagraph"/>
        <w:numPr>
          <w:ilvl w:val="0"/>
          <w:numId w:val="20"/>
        </w:numPr>
        <w:spacing w:after="0" w:line="240" w:lineRule="auto"/>
        <w:jc w:val="both"/>
        <w:rPr>
          <w:rFonts w:asciiTheme="majorHAnsi" w:hAnsiTheme="majorHAnsi"/>
          <w:sz w:val="24"/>
          <w:szCs w:val="24"/>
        </w:rPr>
      </w:pPr>
      <w:r w:rsidRPr="00823071">
        <w:rPr>
          <w:rFonts w:asciiTheme="majorHAnsi" w:hAnsiTheme="majorHAnsi"/>
          <w:sz w:val="24"/>
          <w:szCs w:val="24"/>
        </w:rPr>
        <w:t>DTR auditing at random selection of potential areas.</w:t>
      </w:r>
    </w:p>
    <w:p w:rsidR="00783A83" w:rsidRPr="00823071" w:rsidRDefault="00783A83" w:rsidP="006935E2">
      <w:pPr>
        <w:pStyle w:val="ListParagraph"/>
        <w:numPr>
          <w:ilvl w:val="0"/>
          <w:numId w:val="20"/>
        </w:numPr>
        <w:spacing w:after="0" w:line="240" w:lineRule="auto"/>
        <w:jc w:val="both"/>
        <w:rPr>
          <w:rFonts w:asciiTheme="majorHAnsi" w:hAnsiTheme="majorHAnsi"/>
          <w:sz w:val="24"/>
          <w:szCs w:val="24"/>
        </w:rPr>
      </w:pPr>
      <w:r w:rsidRPr="00823071">
        <w:rPr>
          <w:rFonts w:asciiTheme="majorHAnsi" w:hAnsiTheme="majorHAnsi"/>
          <w:sz w:val="24"/>
          <w:szCs w:val="24"/>
        </w:rPr>
        <w:t>AB Cabling</w:t>
      </w:r>
    </w:p>
    <w:p w:rsidR="00783A83" w:rsidRPr="00823071" w:rsidRDefault="00783A83" w:rsidP="00202508">
      <w:pPr>
        <w:pStyle w:val="ListParagraph"/>
        <w:spacing w:after="0" w:line="240" w:lineRule="auto"/>
        <w:jc w:val="both"/>
        <w:rPr>
          <w:rFonts w:asciiTheme="majorHAnsi" w:hAnsiTheme="majorHAnsi"/>
          <w:b/>
          <w:sz w:val="24"/>
          <w:szCs w:val="24"/>
        </w:rPr>
      </w:pPr>
    </w:p>
    <w:p w:rsidR="00A02335" w:rsidRPr="00823071" w:rsidRDefault="00A02335" w:rsidP="00202508">
      <w:pPr>
        <w:pStyle w:val="ListParagraph"/>
        <w:spacing w:after="0" w:line="240" w:lineRule="auto"/>
        <w:jc w:val="both"/>
        <w:rPr>
          <w:rFonts w:asciiTheme="majorHAnsi" w:hAnsiTheme="majorHAnsi"/>
          <w:b/>
          <w:sz w:val="24"/>
          <w:szCs w:val="24"/>
        </w:rPr>
      </w:pPr>
      <w:r w:rsidRPr="00823071">
        <w:rPr>
          <w:rFonts w:asciiTheme="majorHAnsi" w:hAnsiTheme="majorHAnsi"/>
          <w:b/>
          <w:sz w:val="24"/>
          <w:szCs w:val="24"/>
        </w:rPr>
        <w:t>METERING</w:t>
      </w:r>
    </w:p>
    <w:p w:rsidR="00783A83" w:rsidRPr="00823071" w:rsidRDefault="00783A83" w:rsidP="00202508">
      <w:pPr>
        <w:spacing w:line="360" w:lineRule="auto"/>
        <w:ind w:left="720"/>
        <w:jc w:val="both"/>
        <w:rPr>
          <w:rFonts w:asciiTheme="majorHAnsi" w:hAnsiTheme="majorHAnsi"/>
        </w:rPr>
      </w:pPr>
    </w:p>
    <w:p w:rsidR="00783A83" w:rsidRPr="00823071" w:rsidRDefault="00783A83" w:rsidP="006935E2">
      <w:pPr>
        <w:pStyle w:val="ListParagraph"/>
        <w:numPr>
          <w:ilvl w:val="0"/>
          <w:numId w:val="21"/>
        </w:numPr>
        <w:spacing w:after="0" w:line="240" w:lineRule="auto"/>
        <w:jc w:val="both"/>
        <w:rPr>
          <w:rFonts w:asciiTheme="majorHAnsi" w:hAnsiTheme="majorHAnsi"/>
          <w:sz w:val="24"/>
          <w:szCs w:val="24"/>
        </w:rPr>
      </w:pPr>
      <w:r w:rsidRPr="00823071">
        <w:rPr>
          <w:rFonts w:asciiTheme="majorHAnsi" w:hAnsiTheme="majorHAnsi"/>
          <w:sz w:val="24"/>
          <w:szCs w:val="24"/>
        </w:rPr>
        <w:t>Defective meter replacement – Priority to high value consumers.</w:t>
      </w:r>
    </w:p>
    <w:p w:rsidR="00783A83" w:rsidRPr="00823071" w:rsidRDefault="00783A83" w:rsidP="006935E2">
      <w:pPr>
        <w:pStyle w:val="ListParagraph"/>
        <w:numPr>
          <w:ilvl w:val="0"/>
          <w:numId w:val="21"/>
        </w:numPr>
        <w:spacing w:after="0" w:line="240" w:lineRule="auto"/>
        <w:jc w:val="both"/>
        <w:rPr>
          <w:rFonts w:asciiTheme="majorHAnsi" w:hAnsiTheme="majorHAnsi"/>
          <w:sz w:val="24"/>
          <w:szCs w:val="24"/>
        </w:rPr>
      </w:pPr>
      <w:r w:rsidRPr="00823071">
        <w:rPr>
          <w:rFonts w:asciiTheme="majorHAnsi" w:hAnsiTheme="majorHAnsi"/>
          <w:sz w:val="24"/>
          <w:szCs w:val="24"/>
        </w:rPr>
        <w:t>Cent percent meter replacement of commercial consumers.</w:t>
      </w:r>
    </w:p>
    <w:p w:rsidR="00783A83" w:rsidRPr="00823071" w:rsidRDefault="00783A83" w:rsidP="006935E2">
      <w:pPr>
        <w:pStyle w:val="ListParagraph"/>
        <w:numPr>
          <w:ilvl w:val="0"/>
          <w:numId w:val="21"/>
        </w:numPr>
        <w:spacing w:after="0" w:line="240" w:lineRule="auto"/>
        <w:jc w:val="both"/>
        <w:rPr>
          <w:rFonts w:asciiTheme="majorHAnsi" w:hAnsiTheme="majorHAnsi"/>
          <w:sz w:val="24"/>
          <w:szCs w:val="24"/>
        </w:rPr>
      </w:pPr>
      <w:r w:rsidRPr="00823071">
        <w:rPr>
          <w:rFonts w:asciiTheme="majorHAnsi" w:hAnsiTheme="majorHAnsi"/>
          <w:sz w:val="24"/>
          <w:szCs w:val="24"/>
        </w:rPr>
        <w:t>Conversion of Single phase consumers to three phase consumers ( High CD premises)</w:t>
      </w:r>
    </w:p>
    <w:p w:rsidR="00783A83" w:rsidRPr="00823071" w:rsidRDefault="00783A83" w:rsidP="006935E2">
      <w:pPr>
        <w:pStyle w:val="ListParagraph"/>
        <w:numPr>
          <w:ilvl w:val="0"/>
          <w:numId w:val="21"/>
        </w:numPr>
        <w:spacing w:after="0" w:line="240" w:lineRule="auto"/>
        <w:jc w:val="both"/>
        <w:rPr>
          <w:rFonts w:asciiTheme="majorHAnsi" w:hAnsiTheme="majorHAnsi"/>
          <w:sz w:val="24"/>
          <w:szCs w:val="24"/>
        </w:rPr>
      </w:pPr>
      <w:r w:rsidRPr="00823071">
        <w:rPr>
          <w:rFonts w:asciiTheme="majorHAnsi" w:hAnsiTheme="majorHAnsi"/>
          <w:sz w:val="24"/>
          <w:szCs w:val="24"/>
        </w:rPr>
        <w:t>Meter shifting to outside the premises as non con sealed service connection.</w:t>
      </w:r>
    </w:p>
    <w:p w:rsidR="00783A83" w:rsidRPr="00823071" w:rsidRDefault="00783A83" w:rsidP="006935E2">
      <w:pPr>
        <w:pStyle w:val="ListParagraph"/>
        <w:numPr>
          <w:ilvl w:val="0"/>
          <w:numId w:val="21"/>
        </w:numPr>
        <w:spacing w:after="0" w:line="240" w:lineRule="auto"/>
        <w:jc w:val="both"/>
        <w:rPr>
          <w:rFonts w:asciiTheme="majorHAnsi" w:hAnsiTheme="majorHAnsi"/>
          <w:sz w:val="24"/>
          <w:szCs w:val="24"/>
        </w:rPr>
      </w:pPr>
      <w:r w:rsidRPr="00823071">
        <w:rPr>
          <w:rFonts w:asciiTheme="majorHAnsi" w:hAnsiTheme="majorHAnsi"/>
          <w:sz w:val="24"/>
          <w:szCs w:val="24"/>
        </w:rPr>
        <w:t>Sealing of meters.</w:t>
      </w:r>
    </w:p>
    <w:p w:rsidR="00783A83" w:rsidRPr="00823071" w:rsidRDefault="00783A83" w:rsidP="006935E2">
      <w:pPr>
        <w:pStyle w:val="ListParagraph"/>
        <w:numPr>
          <w:ilvl w:val="0"/>
          <w:numId w:val="21"/>
        </w:numPr>
        <w:spacing w:after="0" w:line="240" w:lineRule="auto"/>
        <w:jc w:val="both"/>
        <w:rPr>
          <w:rFonts w:asciiTheme="majorHAnsi" w:hAnsiTheme="majorHAnsi"/>
          <w:sz w:val="24"/>
          <w:szCs w:val="24"/>
        </w:rPr>
      </w:pPr>
      <w:r w:rsidRPr="00823071">
        <w:rPr>
          <w:rFonts w:asciiTheme="majorHAnsi" w:hAnsiTheme="majorHAnsi"/>
          <w:sz w:val="24"/>
          <w:szCs w:val="24"/>
        </w:rPr>
        <w:t>Checking of new service connection by next higher authorities for correctness in observing regulation.</w:t>
      </w:r>
    </w:p>
    <w:p w:rsidR="00783A83" w:rsidRPr="00823071" w:rsidRDefault="00783A83" w:rsidP="006935E2">
      <w:pPr>
        <w:pStyle w:val="ListParagraph"/>
        <w:numPr>
          <w:ilvl w:val="0"/>
          <w:numId w:val="21"/>
        </w:numPr>
        <w:spacing w:after="0" w:line="240" w:lineRule="auto"/>
        <w:jc w:val="both"/>
        <w:rPr>
          <w:rFonts w:asciiTheme="majorHAnsi" w:hAnsiTheme="majorHAnsi"/>
          <w:sz w:val="24"/>
          <w:szCs w:val="24"/>
        </w:rPr>
      </w:pPr>
      <w:r w:rsidRPr="00823071">
        <w:rPr>
          <w:rFonts w:asciiTheme="majorHAnsi" w:hAnsiTheme="majorHAnsi"/>
          <w:sz w:val="24"/>
          <w:szCs w:val="24"/>
        </w:rPr>
        <w:t>Facilitating AMR for all the consumers having the load more than 10 KW.</w:t>
      </w:r>
    </w:p>
    <w:p w:rsidR="00A02335" w:rsidRPr="00823071" w:rsidRDefault="00A02335" w:rsidP="00202508">
      <w:pPr>
        <w:spacing w:line="360" w:lineRule="auto"/>
        <w:ind w:left="720"/>
        <w:jc w:val="both"/>
        <w:rPr>
          <w:rFonts w:asciiTheme="majorHAnsi" w:hAnsiTheme="majorHAnsi"/>
        </w:rPr>
      </w:pPr>
    </w:p>
    <w:p w:rsidR="00A02335" w:rsidRPr="00823071" w:rsidRDefault="00A02335" w:rsidP="000910C0">
      <w:pPr>
        <w:pStyle w:val="ListParagraph"/>
        <w:spacing w:after="0" w:line="240" w:lineRule="auto"/>
        <w:jc w:val="both"/>
        <w:rPr>
          <w:rFonts w:asciiTheme="majorHAnsi" w:hAnsiTheme="majorHAnsi"/>
          <w:b/>
          <w:sz w:val="24"/>
          <w:szCs w:val="24"/>
        </w:rPr>
      </w:pPr>
      <w:r w:rsidRPr="00823071">
        <w:rPr>
          <w:rFonts w:asciiTheme="majorHAnsi" w:hAnsiTheme="majorHAnsi"/>
          <w:b/>
          <w:sz w:val="24"/>
          <w:szCs w:val="24"/>
        </w:rPr>
        <w:lastRenderedPageBreak/>
        <w:t>BILLING</w:t>
      </w:r>
    </w:p>
    <w:p w:rsidR="00783A83" w:rsidRPr="00823071" w:rsidRDefault="00783A83" w:rsidP="00783A83">
      <w:pPr>
        <w:ind w:firstLine="720"/>
        <w:rPr>
          <w:rFonts w:asciiTheme="majorHAnsi" w:hAnsiTheme="majorHAnsi"/>
        </w:rPr>
      </w:pPr>
      <w:r w:rsidRPr="00823071">
        <w:rPr>
          <w:rFonts w:asciiTheme="majorHAnsi" w:hAnsiTheme="majorHAnsi"/>
        </w:rPr>
        <w:t>(A) Checking of photo billing &amp; corrective action.</w:t>
      </w:r>
    </w:p>
    <w:p w:rsidR="00783A83" w:rsidRPr="00823071" w:rsidRDefault="00783A83" w:rsidP="00783A83">
      <w:pPr>
        <w:pStyle w:val="ListParagraph"/>
        <w:spacing w:line="240" w:lineRule="auto"/>
        <w:ind w:left="142" w:hanging="11"/>
        <w:rPr>
          <w:rFonts w:asciiTheme="majorHAnsi" w:hAnsiTheme="majorHAnsi"/>
          <w:sz w:val="24"/>
          <w:szCs w:val="24"/>
        </w:rPr>
      </w:pPr>
      <w:r w:rsidRPr="00823071">
        <w:rPr>
          <w:rFonts w:asciiTheme="majorHAnsi" w:hAnsiTheme="majorHAnsi"/>
          <w:sz w:val="24"/>
          <w:szCs w:val="24"/>
        </w:rPr>
        <w:tab/>
      </w:r>
      <w:r w:rsidRPr="00823071">
        <w:rPr>
          <w:rFonts w:asciiTheme="majorHAnsi" w:hAnsiTheme="majorHAnsi"/>
          <w:sz w:val="24"/>
          <w:szCs w:val="24"/>
        </w:rPr>
        <w:tab/>
        <w:t>(B)   Field checking of LD consumers for possible hooking.</w:t>
      </w:r>
    </w:p>
    <w:p w:rsidR="00783A83" w:rsidRPr="00823071" w:rsidRDefault="00783A83" w:rsidP="00783A83">
      <w:pPr>
        <w:pStyle w:val="ListParagraph"/>
        <w:spacing w:line="240" w:lineRule="auto"/>
        <w:ind w:left="142" w:hanging="11"/>
        <w:rPr>
          <w:rFonts w:asciiTheme="majorHAnsi" w:hAnsiTheme="majorHAnsi"/>
          <w:sz w:val="24"/>
          <w:szCs w:val="24"/>
        </w:rPr>
      </w:pPr>
      <w:r w:rsidRPr="00823071">
        <w:rPr>
          <w:rFonts w:asciiTheme="majorHAnsi" w:hAnsiTheme="majorHAnsi"/>
          <w:sz w:val="24"/>
          <w:szCs w:val="24"/>
        </w:rPr>
        <w:tab/>
      </w:r>
      <w:r w:rsidRPr="00823071">
        <w:rPr>
          <w:rFonts w:asciiTheme="majorHAnsi" w:hAnsiTheme="majorHAnsi"/>
          <w:sz w:val="24"/>
          <w:szCs w:val="24"/>
        </w:rPr>
        <w:tab/>
        <w:t>(C)   Check meter reading by individuals (Targeted)</w:t>
      </w:r>
    </w:p>
    <w:p w:rsidR="00783A83" w:rsidRPr="00823071" w:rsidRDefault="00783A83" w:rsidP="00783A83">
      <w:pPr>
        <w:pStyle w:val="ListParagraph"/>
        <w:spacing w:line="240" w:lineRule="auto"/>
        <w:ind w:left="142" w:hanging="11"/>
        <w:rPr>
          <w:rFonts w:asciiTheme="majorHAnsi" w:hAnsiTheme="majorHAnsi"/>
          <w:sz w:val="24"/>
          <w:szCs w:val="24"/>
        </w:rPr>
      </w:pPr>
      <w:r w:rsidRPr="00823071">
        <w:rPr>
          <w:rFonts w:asciiTheme="majorHAnsi" w:hAnsiTheme="majorHAnsi"/>
          <w:sz w:val="24"/>
          <w:szCs w:val="24"/>
        </w:rPr>
        <w:tab/>
      </w:r>
      <w:r w:rsidRPr="00823071">
        <w:rPr>
          <w:rFonts w:asciiTheme="majorHAnsi" w:hAnsiTheme="majorHAnsi"/>
          <w:sz w:val="24"/>
          <w:szCs w:val="24"/>
        </w:rPr>
        <w:tab/>
        <w:t>(D)  Mass check meter reading.</w:t>
      </w:r>
    </w:p>
    <w:p w:rsidR="00783A83" w:rsidRPr="00823071" w:rsidRDefault="00783A83" w:rsidP="00783A83">
      <w:pPr>
        <w:pStyle w:val="ListParagraph"/>
        <w:spacing w:line="240" w:lineRule="auto"/>
        <w:ind w:left="142" w:hanging="11"/>
        <w:rPr>
          <w:rFonts w:asciiTheme="majorHAnsi" w:hAnsiTheme="majorHAnsi"/>
          <w:sz w:val="24"/>
          <w:szCs w:val="24"/>
        </w:rPr>
      </w:pPr>
      <w:r w:rsidRPr="00823071">
        <w:rPr>
          <w:rFonts w:asciiTheme="majorHAnsi" w:hAnsiTheme="majorHAnsi"/>
          <w:sz w:val="24"/>
          <w:szCs w:val="24"/>
        </w:rPr>
        <w:tab/>
      </w:r>
      <w:r w:rsidRPr="00823071">
        <w:rPr>
          <w:rFonts w:asciiTheme="majorHAnsi" w:hAnsiTheme="majorHAnsi"/>
          <w:sz w:val="24"/>
          <w:szCs w:val="24"/>
        </w:rPr>
        <w:tab/>
        <w:t>(E)  Verification of low billed consumers.</w:t>
      </w:r>
    </w:p>
    <w:p w:rsidR="00783A83" w:rsidRPr="00823071" w:rsidRDefault="00783A83" w:rsidP="00783A83">
      <w:pPr>
        <w:pStyle w:val="ListParagraph"/>
        <w:spacing w:line="240" w:lineRule="auto"/>
        <w:ind w:left="724"/>
        <w:rPr>
          <w:rFonts w:asciiTheme="majorHAnsi" w:hAnsiTheme="majorHAnsi"/>
          <w:sz w:val="24"/>
          <w:szCs w:val="24"/>
        </w:rPr>
      </w:pPr>
      <w:r w:rsidRPr="00823071">
        <w:rPr>
          <w:rFonts w:asciiTheme="majorHAnsi" w:hAnsiTheme="majorHAnsi"/>
          <w:sz w:val="24"/>
          <w:szCs w:val="24"/>
        </w:rPr>
        <w:t>(F)  Verification of exceptional report cases like suspected by pass, not in billing fold, meter  OK but billed in defective, availing power but shown in database as LD, etc.</w:t>
      </w:r>
    </w:p>
    <w:p w:rsidR="00783A83" w:rsidRPr="00823071" w:rsidRDefault="00783A83" w:rsidP="006935E2">
      <w:pPr>
        <w:pStyle w:val="ListParagraph"/>
        <w:numPr>
          <w:ilvl w:val="0"/>
          <w:numId w:val="21"/>
        </w:numPr>
        <w:spacing w:after="0" w:line="240" w:lineRule="auto"/>
        <w:jc w:val="both"/>
        <w:rPr>
          <w:rFonts w:asciiTheme="majorHAnsi" w:hAnsiTheme="majorHAnsi"/>
          <w:sz w:val="24"/>
          <w:szCs w:val="24"/>
        </w:rPr>
      </w:pPr>
      <w:r w:rsidRPr="00823071">
        <w:rPr>
          <w:rFonts w:asciiTheme="majorHAnsi" w:hAnsiTheme="majorHAnsi"/>
          <w:sz w:val="24"/>
          <w:szCs w:val="24"/>
        </w:rPr>
        <w:t xml:space="preserve"> Load verification of BPL consumers having defective meters/ No meters for conversion to APL..</w:t>
      </w:r>
    </w:p>
    <w:p w:rsidR="00783A83" w:rsidRPr="00823071" w:rsidRDefault="00783A83" w:rsidP="006935E2">
      <w:pPr>
        <w:pStyle w:val="ListParagraph"/>
        <w:numPr>
          <w:ilvl w:val="0"/>
          <w:numId w:val="21"/>
        </w:numPr>
        <w:spacing w:after="0" w:line="240" w:lineRule="auto"/>
        <w:jc w:val="both"/>
        <w:rPr>
          <w:rFonts w:asciiTheme="majorHAnsi" w:hAnsiTheme="majorHAnsi"/>
          <w:sz w:val="24"/>
          <w:szCs w:val="24"/>
        </w:rPr>
      </w:pPr>
      <w:r w:rsidRPr="00823071">
        <w:rPr>
          <w:rFonts w:asciiTheme="majorHAnsi" w:hAnsiTheme="majorHAnsi"/>
          <w:sz w:val="24"/>
          <w:szCs w:val="24"/>
        </w:rPr>
        <w:t>Delegation of Power at the SE level to revise the bills under LT Category irrespective of quantum to be revised.</w:t>
      </w:r>
    </w:p>
    <w:p w:rsidR="00783A83" w:rsidRPr="00823071" w:rsidRDefault="00783A83" w:rsidP="006935E2">
      <w:pPr>
        <w:pStyle w:val="ListParagraph"/>
        <w:numPr>
          <w:ilvl w:val="0"/>
          <w:numId w:val="21"/>
        </w:numPr>
        <w:spacing w:after="0" w:line="240" w:lineRule="auto"/>
        <w:jc w:val="both"/>
        <w:rPr>
          <w:rFonts w:asciiTheme="majorHAnsi" w:hAnsiTheme="majorHAnsi"/>
          <w:sz w:val="24"/>
          <w:szCs w:val="24"/>
        </w:rPr>
      </w:pPr>
      <w:r w:rsidRPr="00823071">
        <w:rPr>
          <w:rFonts w:asciiTheme="majorHAnsi" w:hAnsiTheme="majorHAnsi"/>
          <w:sz w:val="24"/>
          <w:szCs w:val="24"/>
        </w:rPr>
        <w:t>Scrupulously implementing the orders of GRF.</w:t>
      </w:r>
    </w:p>
    <w:p w:rsidR="00783A83" w:rsidRDefault="00783A83" w:rsidP="00D81931">
      <w:pPr>
        <w:pStyle w:val="ListParagraph"/>
        <w:spacing w:after="0" w:line="240" w:lineRule="auto"/>
        <w:jc w:val="both"/>
        <w:rPr>
          <w:rFonts w:ascii="Cambria" w:hAnsi="Cambria"/>
          <w:b/>
          <w:sz w:val="24"/>
          <w:szCs w:val="24"/>
        </w:rPr>
      </w:pPr>
    </w:p>
    <w:p w:rsidR="00A02335" w:rsidRDefault="00A02335" w:rsidP="00D81931">
      <w:pPr>
        <w:pStyle w:val="ListParagraph"/>
        <w:spacing w:after="0" w:line="240" w:lineRule="auto"/>
        <w:jc w:val="both"/>
        <w:rPr>
          <w:rFonts w:ascii="Cambria" w:hAnsi="Cambria"/>
          <w:b/>
          <w:sz w:val="24"/>
          <w:szCs w:val="24"/>
        </w:rPr>
      </w:pPr>
      <w:r w:rsidRPr="00D81931">
        <w:rPr>
          <w:rFonts w:ascii="Cambria" w:hAnsi="Cambria"/>
          <w:b/>
          <w:sz w:val="24"/>
          <w:szCs w:val="24"/>
        </w:rPr>
        <w:t>COLLECTION</w:t>
      </w:r>
    </w:p>
    <w:p w:rsidR="00783A83" w:rsidRPr="00D81931" w:rsidRDefault="00783A83" w:rsidP="00D81931">
      <w:pPr>
        <w:pStyle w:val="ListParagraph"/>
        <w:spacing w:after="0" w:line="240" w:lineRule="auto"/>
        <w:jc w:val="both"/>
        <w:rPr>
          <w:rFonts w:ascii="Cambria" w:hAnsi="Cambria"/>
          <w:b/>
          <w:sz w:val="24"/>
          <w:szCs w:val="24"/>
        </w:rPr>
      </w:pPr>
    </w:p>
    <w:p w:rsidR="00783A83" w:rsidRPr="00E86106" w:rsidRDefault="00783A83" w:rsidP="006935E2">
      <w:pPr>
        <w:pStyle w:val="ListParagraph"/>
        <w:numPr>
          <w:ilvl w:val="0"/>
          <w:numId w:val="22"/>
        </w:numPr>
        <w:spacing w:after="0" w:line="240" w:lineRule="auto"/>
        <w:jc w:val="both"/>
        <w:rPr>
          <w:rFonts w:ascii="Book Antiqua" w:hAnsi="Book Antiqua"/>
          <w:sz w:val="24"/>
        </w:rPr>
      </w:pPr>
      <w:r w:rsidRPr="00E86106">
        <w:rPr>
          <w:rFonts w:ascii="Book Antiqua" w:hAnsi="Book Antiqua"/>
          <w:sz w:val="24"/>
        </w:rPr>
        <w:t>Effective operation of disconnection squads and checking of disconnected consumers.</w:t>
      </w:r>
    </w:p>
    <w:p w:rsidR="00783A83" w:rsidRPr="00E86106" w:rsidRDefault="00783A83" w:rsidP="006935E2">
      <w:pPr>
        <w:pStyle w:val="ListParagraph"/>
        <w:numPr>
          <w:ilvl w:val="0"/>
          <w:numId w:val="22"/>
        </w:numPr>
        <w:spacing w:after="0" w:line="240" w:lineRule="auto"/>
        <w:jc w:val="both"/>
        <w:rPr>
          <w:rFonts w:ascii="Book Antiqua" w:hAnsi="Book Antiqua"/>
          <w:sz w:val="24"/>
        </w:rPr>
      </w:pPr>
      <w:r w:rsidRPr="00E86106">
        <w:rPr>
          <w:rFonts w:ascii="Book Antiqua" w:hAnsi="Book Antiqua"/>
          <w:sz w:val="24"/>
        </w:rPr>
        <w:t>Operation of GRF camp in field.</w:t>
      </w:r>
    </w:p>
    <w:p w:rsidR="00783A83" w:rsidRPr="00E86106" w:rsidRDefault="00783A83" w:rsidP="006935E2">
      <w:pPr>
        <w:pStyle w:val="ListParagraph"/>
        <w:numPr>
          <w:ilvl w:val="0"/>
          <w:numId w:val="22"/>
        </w:numPr>
        <w:spacing w:after="0" w:line="240" w:lineRule="auto"/>
        <w:jc w:val="both"/>
        <w:rPr>
          <w:rFonts w:ascii="Book Antiqua" w:hAnsi="Book Antiqua"/>
          <w:sz w:val="24"/>
        </w:rPr>
      </w:pPr>
      <w:r w:rsidRPr="00E86106">
        <w:rPr>
          <w:rFonts w:ascii="Book Antiqua" w:hAnsi="Book Antiqua"/>
          <w:sz w:val="24"/>
        </w:rPr>
        <w:t>Operation of consumer camp/ consumer complain redressal camp at field.</w:t>
      </w:r>
    </w:p>
    <w:p w:rsidR="00783A83" w:rsidRPr="00E86106" w:rsidRDefault="00783A83" w:rsidP="006935E2">
      <w:pPr>
        <w:pStyle w:val="ListParagraph"/>
        <w:numPr>
          <w:ilvl w:val="0"/>
          <w:numId w:val="22"/>
        </w:numPr>
        <w:spacing w:after="0" w:line="240" w:lineRule="auto"/>
        <w:jc w:val="both"/>
        <w:rPr>
          <w:rFonts w:ascii="Book Antiqua" w:hAnsi="Book Antiqua"/>
          <w:sz w:val="24"/>
        </w:rPr>
      </w:pPr>
      <w:r w:rsidRPr="00E86106">
        <w:rPr>
          <w:rFonts w:ascii="Book Antiqua" w:hAnsi="Book Antiqua"/>
          <w:sz w:val="24"/>
        </w:rPr>
        <w:t>Organising Mega camp collection – The day when every section officer has to disconnect the defaulting consumers, disconnection of penalty cases, etc. having a targeted amount realization.</w:t>
      </w:r>
    </w:p>
    <w:p w:rsidR="00783A83" w:rsidRPr="00E86106" w:rsidRDefault="00783A83" w:rsidP="006935E2">
      <w:pPr>
        <w:pStyle w:val="ListParagraph"/>
        <w:numPr>
          <w:ilvl w:val="0"/>
          <w:numId w:val="22"/>
        </w:numPr>
        <w:spacing w:after="0" w:line="240" w:lineRule="auto"/>
        <w:jc w:val="both"/>
        <w:rPr>
          <w:rFonts w:ascii="Book Antiqua" w:hAnsi="Book Antiqua"/>
          <w:sz w:val="24"/>
        </w:rPr>
      </w:pPr>
      <w:r w:rsidRPr="00E86106">
        <w:rPr>
          <w:rFonts w:ascii="Book Antiqua" w:hAnsi="Book Antiqua"/>
          <w:sz w:val="24"/>
        </w:rPr>
        <w:t xml:space="preserve">Monitoring of disconnection/ recovery of single phase consumers having outstanding &gt; Rs. 25000/-, &gt;  Rs.50000/- ,  &gt; Rs.100000/- </w:t>
      </w:r>
    </w:p>
    <w:p w:rsidR="00783A83" w:rsidRPr="00E86106" w:rsidRDefault="00783A83" w:rsidP="006935E2">
      <w:pPr>
        <w:pStyle w:val="ListParagraph"/>
        <w:numPr>
          <w:ilvl w:val="0"/>
          <w:numId w:val="22"/>
        </w:numPr>
        <w:spacing w:after="0" w:line="240" w:lineRule="auto"/>
        <w:jc w:val="both"/>
        <w:rPr>
          <w:rFonts w:ascii="Book Antiqua" w:hAnsi="Book Antiqua"/>
          <w:sz w:val="24"/>
        </w:rPr>
      </w:pPr>
      <w:r w:rsidRPr="00E86106">
        <w:rPr>
          <w:rFonts w:ascii="Book Antiqua" w:hAnsi="Book Antiqua"/>
          <w:sz w:val="24"/>
        </w:rPr>
        <w:t>Advocate notice to PLD / huge arrear cases consumers.</w:t>
      </w:r>
    </w:p>
    <w:p w:rsidR="00783A83" w:rsidRPr="00E86106" w:rsidRDefault="00783A83" w:rsidP="006935E2">
      <w:pPr>
        <w:pStyle w:val="ListParagraph"/>
        <w:numPr>
          <w:ilvl w:val="0"/>
          <w:numId w:val="22"/>
        </w:numPr>
        <w:spacing w:after="0" w:line="240" w:lineRule="auto"/>
        <w:jc w:val="both"/>
        <w:rPr>
          <w:rFonts w:ascii="Book Antiqua" w:hAnsi="Book Antiqua"/>
          <w:sz w:val="24"/>
        </w:rPr>
      </w:pPr>
      <w:r w:rsidRPr="00E86106">
        <w:rPr>
          <w:rFonts w:ascii="Book Antiqua" w:hAnsi="Book Antiqua"/>
          <w:sz w:val="24"/>
        </w:rPr>
        <w:t>The ongoing online cash collection in pilot project shall be extended to all the divisions under the Utility.</w:t>
      </w:r>
    </w:p>
    <w:p w:rsidR="00A02335" w:rsidRDefault="00A02335" w:rsidP="00A02335">
      <w:pPr>
        <w:pStyle w:val="ListParagraph"/>
        <w:spacing w:after="0" w:line="240" w:lineRule="auto"/>
        <w:ind w:left="1080"/>
        <w:jc w:val="both"/>
      </w:pPr>
    </w:p>
    <w:p w:rsidR="00A02335" w:rsidRDefault="00A02335" w:rsidP="00F72439">
      <w:pPr>
        <w:pStyle w:val="ListParagraph"/>
        <w:spacing w:after="0" w:line="240" w:lineRule="auto"/>
        <w:jc w:val="both"/>
        <w:rPr>
          <w:rFonts w:ascii="Cambria" w:hAnsi="Cambria"/>
          <w:b/>
          <w:sz w:val="24"/>
          <w:szCs w:val="24"/>
        </w:rPr>
      </w:pPr>
      <w:r w:rsidRPr="00F72439">
        <w:rPr>
          <w:rFonts w:ascii="Cambria" w:hAnsi="Cambria"/>
          <w:b/>
          <w:sz w:val="24"/>
          <w:szCs w:val="24"/>
        </w:rPr>
        <w:t xml:space="preserve">VIGILANCE ACTIVITIES </w:t>
      </w:r>
      <w:r w:rsidRPr="00F72439">
        <w:rPr>
          <w:rFonts w:ascii="Cambria" w:hAnsi="Cambria"/>
          <w:b/>
          <w:sz w:val="24"/>
          <w:szCs w:val="24"/>
        </w:rPr>
        <w:tab/>
      </w:r>
    </w:p>
    <w:p w:rsidR="002012C2" w:rsidRPr="00F72439" w:rsidRDefault="002012C2" w:rsidP="00F72439">
      <w:pPr>
        <w:pStyle w:val="ListParagraph"/>
        <w:spacing w:after="0" w:line="240" w:lineRule="auto"/>
        <w:jc w:val="both"/>
        <w:rPr>
          <w:rFonts w:ascii="Cambria" w:hAnsi="Cambria"/>
          <w:b/>
          <w:sz w:val="24"/>
          <w:szCs w:val="24"/>
        </w:rPr>
      </w:pPr>
    </w:p>
    <w:p w:rsidR="002012C2" w:rsidRPr="00E86106" w:rsidRDefault="002012C2" w:rsidP="006935E2">
      <w:pPr>
        <w:pStyle w:val="ListParagraph"/>
        <w:numPr>
          <w:ilvl w:val="0"/>
          <w:numId w:val="23"/>
        </w:numPr>
        <w:spacing w:after="0" w:line="240" w:lineRule="auto"/>
        <w:jc w:val="both"/>
        <w:rPr>
          <w:rFonts w:ascii="Book Antiqua" w:hAnsi="Book Antiqua"/>
          <w:sz w:val="24"/>
        </w:rPr>
      </w:pPr>
      <w:r w:rsidRPr="00E86106">
        <w:rPr>
          <w:rFonts w:ascii="Book Antiqua" w:hAnsi="Book Antiqua"/>
          <w:sz w:val="24"/>
        </w:rPr>
        <w:t>All section officers given target for no. of self checking.</w:t>
      </w:r>
    </w:p>
    <w:p w:rsidR="002012C2" w:rsidRPr="00E86106" w:rsidRDefault="002012C2" w:rsidP="006935E2">
      <w:pPr>
        <w:pStyle w:val="ListParagraph"/>
        <w:numPr>
          <w:ilvl w:val="0"/>
          <w:numId w:val="23"/>
        </w:numPr>
        <w:spacing w:after="0" w:line="240" w:lineRule="auto"/>
        <w:jc w:val="both"/>
        <w:rPr>
          <w:rFonts w:ascii="Book Antiqua" w:hAnsi="Book Antiqua"/>
          <w:sz w:val="24"/>
        </w:rPr>
      </w:pPr>
      <w:r w:rsidRPr="00E86106">
        <w:rPr>
          <w:rFonts w:ascii="Book Antiqua" w:hAnsi="Book Antiqua"/>
          <w:sz w:val="24"/>
        </w:rPr>
        <w:t>Penalty realization in Rupees (Lakhs) target given at section level.</w:t>
      </w:r>
    </w:p>
    <w:p w:rsidR="002012C2" w:rsidRPr="00E86106" w:rsidRDefault="002012C2" w:rsidP="006935E2">
      <w:pPr>
        <w:pStyle w:val="ListParagraph"/>
        <w:numPr>
          <w:ilvl w:val="0"/>
          <w:numId w:val="23"/>
        </w:numPr>
        <w:spacing w:after="0" w:line="240" w:lineRule="auto"/>
        <w:jc w:val="both"/>
        <w:rPr>
          <w:rFonts w:ascii="Book Antiqua" w:hAnsi="Book Antiqua"/>
          <w:sz w:val="24"/>
        </w:rPr>
      </w:pPr>
      <w:r w:rsidRPr="00E86106">
        <w:rPr>
          <w:rFonts w:ascii="Book Antiqua" w:hAnsi="Book Antiqua"/>
          <w:sz w:val="24"/>
        </w:rPr>
        <w:t>Rectification of vigilance findings (100 Percent) targeted subject to cross checking.</w:t>
      </w:r>
    </w:p>
    <w:p w:rsidR="002012C2" w:rsidRPr="00E86106" w:rsidRDefault="002012C2" w:rsidP="006935E2">
      <w:pPr>
        <w:pStyle w:val="ListParagraph"/>
        <w:numPr>
          <w:ilvl w:val="0"/>
          <w:numId w:val="23"/>
        </w:numPr>
        <w:spacing w:after="0" w:line="240" w:lineRule="auto"/>
        <w:jc w:val="both"/>
        <w:rPr>
          <w:rFonts w:ascii="Book Antiqua" w:hAnsi="Book Antiqua"/>
          <w:sz w:val="24"/>
        </w:rPr>
      </w:pPr>
      <w:r w:rsidRPr="00E86106">
        <w:rPr>
          <w:rFonts w:ascii="Book Antiqua" w:hAnsi="Book Antiqua"/>
          <w:sz w:val="24"/>
        </w:rPr>
        <w:t>Detected un authorize consumers bringing to billing fold.</w:t>
      </w:r>
    </w:p>
    <w:p w:rsidR="002012C2" w:rsidRPr="00E86106" w:rsidRDefault="002012C2" w:rsidP="006935E2">
      <w:pPr>
        <w:pStyle w:val="ListParagraph"/>
        <w:numPr>
          <w:ilvl w:val="0"/>
          <w:numId w:val="23"/>
        </w:numPr>
        <w:spacing w:after="0" w:line="240" w:lineRule="auto"/>
        <w:jc w:val="both"/>
        <w:rPr>
          <w:rFonts w:ascii="Book Antiqua" w:hAnsi="Book Antiqua"/>
          <w:sz w:val="24"/>
        </w:rPr>
      </w:pPr>
      <w:r w:rsidRPr="00E86106">
        <w:rPr>
          <w:rFonts w:ascii="Book Antiqua" w:hAnsi="Book Antiqua"/>
          <w:sz w:val="24"/>
        </w:rPr>
        <w:t>Lodging of FIR.</w:t>
      </w:r>
    </w:p>
    <w:p w:rsidR="00A02335" w:rsidRDefault="00A02335" w:rsidP="00A02335">
      <w:pPr>
        <w:pStyle w:val="ListParagraph"/>
        <w:spacing w:after="0" w:line="240" w:lineRule="auto"/>
        <w:jc w:val="both"/>
      </w:pPr>
    </w:p>
    <w:p w:rsidR="00A02335" w:rsidRPr="00F233A3" w:rsidRDefault="00A02335" w:rsidP="00F233A3">
      <w:pPr>
        <w:pStyle w:val="ListParagraph"/>
        <w:spacing w:after="0" w:line="240" w:lineRule="auto"/>
        <w:jc w:val="both"/>
        <w:rPr>
          <w:rFonts w:ascii="Cambria" w:hAnsi="Cambria"/>
          <w:b/>
          <w:sz w:val="24"/>
          <w:szCs w:val="24"/>
        </w:rPr>
      </w:pPr>
      <w:r w:rsidRPr="00F233A3">
        <w:rPr>
          <w:rFonts w:ascii="Cambria" w:hAnsi="Cambria"/>
          <w:b/>
          <w:sz w:val="24"/>
          <w:szCs w:val="24"/>
        </w:rPr>
        <w:t>CONSUMER INDEXING</w:t>
      </w:r>
    </w:p>
    <w:p w:rsidR="00FC1250" w:rsidRDefault="00FC1250" w:rsidP="006935E2">
      <w:pPr>
        <w:pStyle w:val="ListParagraph"/>
        <w:numPr>
          <w:ilvl w:val="0"/>
          <w:numId w:val="24"/>
        </w:numPr>
        <w:spacing w:after="0" w:line="240" w:lineRule="auto"/>
        <w:jc w:val="both"/>
        <w:rPr>
          <w:rFonts w:ascii="Book Antiqua" w:hAnsi="Book Antiqua"/>
          <w:sz w:val="24"/>
        </w:rPr>
      </w:pPr>
      <w:r w:rsidRPr="00E86106">
        <w:rPr>
          <w:rFonts w:ascii="Book Antiqua" w:hAnsi="Book Antiqua"/>
          <w:sz w:val="24"/>
        </w:rPr>
        <w:t>Consumer indexing of total consumers in a pilot feeder targeted.</w:t>
      </w:r>
    </w:p>
    <w:p w:rsidR="00FC1250" w:rsidRDefault="00FC1250" w:rsidP="006935E2">
      <w:pPr>
        <w:pStyle w:val="ListParagraph"/>
        <w:numPr>
          <w:ilvl w:val="0"/>
          <w:numId w:val="24"/>
        </w:numPr>
        <w:spacing w:after="0" w:line="240" w:lineRule="auto"/>
        <w:jc w:val="both"/>
        <w:rPr>
          <w:rFonts w:ascii="Book Antiqua" w:hAnsi="Book Antiqua"/>
          <w:sz w:val="24"/>
        </w:rPr>
      </w:pPr>
      <w:r w:rsidRPr="00FC1250">
        <w:rPr>
          <w:rFonts w:ascii="Book Antiqua" w:hAnsi="Book Antiqua"/>
          <w:sz w:val="24"/>
        </w:rPr>
        <w:t>Consumer indexing of some potential  DTR.</w:t>
      </w:r>
    </w:p>
    <w:p w:rsidR="007E03F7" w:rsidRDefault="007E03F7" w:rsidP="007E03F7">
      <w:pPr>
        <w:jc w:val="both"/>
        <w:rPr>
          <w:rFonts w:ascii="Book Antiqua" w:hAnsi="Book Antiqua"/>
        </w:rPr>
      </w:pPr>
    </w:p>
    <w:p w:rsidR="00373F63" w:rsidRDefault="00373F63" w:rsidP="00373F63">
      <w:pPr>
        <w:pStyle w:val="Heading1"/>
        <w:numPr>
          <w:ilvl w:val="1"/>
          <w:numId w:val="10"/>
        </w:numPr>
        <w:spacing w:line="360" w:lineRule="auto"/>
        <w:jc w:val="both"/>
        <w:rPr>
          <w:rFonts w:ascii="Cambria" w:hAnsi="Cambria"/>
          <w:sz w:val="24"/>
          <w:szCs w:val="24"/>
        </w:rPr>
      </w:pPr>
      <w:bookmarkStart w:id="73" w:name="_Toc25850959"/>
      <w:r>
        <w:rPr>
          <w:rFonts w:ascii="Cambria" w:hAnsi="Cambria"/>
          <w:sz w:val="24"/>
          <w:szCs w:val="24"/>
        </w:rPr>
        <w:lastRenderedPageBreak/>
        <w:t xml:space="preserve">Escrow Relaxation for Spot Billing and Collection Charges </w:t>
      </w:r>
      <w:r w:rsidR="006809D4">
        <w:rPr>
          <w:rFonts w:ascii="Cambria" w:hAnsi="Cambria"/>
          <w:sz w:val="24"/>
          <w:szCs w:val="24"/>
        </w:rPr>
        <w:t>for revenue improvement</w:t>
      </w:r>
      <w:bookmarkEnd w:id="73"/>
    </w:p>
    <w:p w:rsidR="00373F63" w:rsidRPr="006809D4" w:rsidRDefault="006809D4" w:rsidP="006809D4">
      <w:pPr>
        <w:pStyle w:val="Heading1"/>
        <w:spacing w:line="360" w:lineRule="auto"/>
        <w:jc w:val="both"/>
        <w:rPr>
          <w:rFonts w:ascii="Cambria" w:hAnsi="Cambria"/>
          <w:sz w:val="24"/>
          <w:szCs w:val="24"/>
        </w:rPr>
      </w:pPr>
      <w:bookmarkStart w:id="74" w:name="_Toc25850960"/>
      <w:r w:rsidRPr="006809D4">
        <w:rPr>
          <w:rFonts w:ascii="Cambria" w:hAnsi="Cambria"/>
          <w:b w:val="0"/>
          <w:sz w:val="24"/>
          <w:szCs w:val="24"/>
        </w:rPr>
        <w:t xml:space="preserve">NESCO has engaged various agencies in undertaking the spot billing in every pocket of the distribution area including </w:t>
      </w:r>
      <w:r>
        <w:rPr>
          <w:rFonts w:ascii="Cambria" w:hAnsi="Cambria"/>
          <w:b w:val="0"/>
          <w:sz w:val="24"/>
          <w:szCs w:val="24"/>
        </w:rPr>
        <w:t>W</w:t>
      </w:r>
      <w:r w:rsidRPr="006809D4">
        <w:rPr>
          <w:rFonts w:ascii="Cambria" w:hAnsi="Cambria"/>
          <w:b w:val="0"/>
          <w:sz w:val="24"/>
          <w:szCs w:val="24"/>
        </w:rPr>
        <w:t>SHGs</w:t>
      </w:r>
      <w:r>
        <w:rPr>
          <w:rFonts w:ascii="Cambria" w:hAnsi="Cambria"/>
          <w:b w:val="0"/>
          <w:sz w:val="24"/>
          <w:szCs w:val="24"/>
        </w:rPr>
        <w:t xml:space="preserve">. Similarly the utility has engaged various collection mechanisms to collect the monthly revenue. To cater the above activities NESCO is incurring expenses in form of charges and incentives to boost the revenue collection activities. The cost to that effect is included in the A &amp; G Expenses which the utility is not able to draw through escrow to pay in time to the agencies on monthly basis. In order to maintain the activities the utility has to pay the agencies in time each month. But the stringent escrow mechanism do not permits to draw the expenses to that extent. </w:t>
      </w:r>
      <w:r w:rsidRPr="006809D4">
        <w:rPr>
          <w:rFonts w:ascii="Cambria" w:hAnsi="Cambria"/>
          <w:sz w:val="24"/>
          <w:szCs w:val="24"/>
        </w:rPr>
        <w:t>NESCO therefore pray</w:t>
      </w:r>
      <w:r>
        <w:rPr>
          <w:rFonts w:ascii="Cambria" w:hAnsi="Cambria"/>
          <w:sz w:val="24"/>
          <w:szCs w:val="24"/>
        </w:rPr>
        <w:t>s</w:t>
      </w:r>
      <w:r w:rsidRPr="006809D4">
        <w:rPr>
          <w:rFonts w:ascii="Cambria" w:hAnsi="Cambria"/>
          <w:sz w:val="24"/>
          <w:szCs w:val="24"/>
        </w:rPr>
        <w:t xml:space="preserve"> to include the above expenses in addition to the employee expenses and contractual obligati</w:t>
      </w:r>
      <w:r>
        <w:rPr>
          <w:rFonts w:ascii="Cambria" w:hAnsi="Cambria"/>
          <w:sz w:val="24"/>
          <w:szCs w:val="24"/>
        </w:rPr>
        <w:t>ons as allowed on monthly basis</w:t>
      </w:r>
      <w:r w:rsidR="00BC13B1">
        <w:rPr>
          <w:rFonts w:ascii="Cambria" w:hAnsi="Cambria"/>
          <w:sz w:val="24"/>
          <w:szCs w:val="24"/>
        </w:rPr>
        <w:t xml:space="preserve"> as escrow relaxation</w:t>
      </w:r>
      <w:r>
        <w:rPr>
          <w:rFonts w:ascii="Cambria" w:hAnsi="Cambria"/>
          <w:sz w:val="24"/>
          <w:szCs w:val="24"/>
        </w:rPr>
        <w:t xml:space="preserve"> and issue necessary directions to GRIDCO.</w:t>
      </w:r>
      <w:bookmarkEnd w:id="74"/>
    </w:p>
    <w:p w:rsidR="004B3B64" w:rsidRPr="001E3699" w:rsidRDefault="007724A4" w:rsidP="006935E2">
      <w:pPr>
        <w:pStyle w:val="Heading1"/>
        <w:numPr>
          <w:ilvl w:val="0"/>
          <w:numId w:val="9"/>
        </w:numPr>
        <w:spacing w:line="360" w:lineRule="auto"/>
        <w:jc w:val="both"/>
        <w:rPr>
          <w:rFonts w:ascii="Cambria" w:hAnsi="Cambria"/>
          <w:sz w:val="24"/>
          <w:szCs w:val="24"/>
        </w:rPr>
      </w:pPr>
      <w:bookmarkStart w:id="75" w:name="_Toc25850961"/>
      <w:r w:rsidRPr="001E3699">
        <w:rPr>
          <w:rFonts w:ascii="Cambria" w:hAnsi="Cambria"/>
          <w:sz w:val="24"/>
          <w:szCs w:val="24"/>
        </w:rPr>
        <w:t>Allocation of Wheeling and Retail supply cost</w:t>
      </w:r>
      <w:bookmarkEnd w:id="75"/>
    </w:p>
    <w:p w:rsidR="007724A4" w:rsidRDefault="007724A4" w:rsidP="007724A4"/>
    <w:p w:rsidR="004077F7" w:rsidRDefault="007724A4" w:rsidP="004077F7">
      <w:pPr>
        <w:autoSpaceDE w:val="0"/>
        <w:autoSpaceDN w:val="0"/>
        <w:adjustRightInd w:val="0"/>
        <w:spacing w:line="360" w:lineRule="auto"/>
        <w:ind w:firstLine="720"/>
        <w:jc w:val="both"/>
      </w:pPr>
      <w:r>
        <w:t>Hon</w:t>
      </w:r>
      <w:r w:rsidR="00AB3195">
        <w:t>’</w:t>
      </w:r>
      <w:r>
        <w:t xml:space="preserve">ble Commission has formulated </w:t>
      </w:r>
      <w:r w:rsidR="0048100F">
        <w:t>regulation for bifurcation of Wheeling and Retail supply business vide notification dated 14</w:t>
      </w:r>
      <w:r w:rsidR="0048100F" w:rsidRPr="0048100F">
        <w:rPr>
          <w:vertAlign w:val="superscript"/>
        </w:rPr>
        <w:t>th</w:t>
      </w:r>
      <w:r w:rsidR="0048100F">
        <w:t xml:space="preserve"> Nov-2014. According to the said regulation the </w:t>
      </w:r>
      <w:r w:rsidR="006C38E9">
        <w:t>Utility</w:t>
      </w:r>
      <w:r w:rsidR="0048100F">
        <w:t xml:space="preserve"> is required to file its ARR application as per the amended regulation. In line with the same as per </w:t>
      </w:r>
      <w:r w:rsidR="00256205">
        <w:t>clause</w:t>
      </w:r>
      <w:r w:rsidR="0048100F">
        <w:t xml:space="preserve"> 4.3 and 4.4 of the regulation for such period until the </w:t>
      </w:r>
      <w:r w:rsidR="00256205">
        <w:t xml:space="preserve">accounts are segregated, the </w:t>
      </w:r>
      <w:r w:rsidR="006C38E9">
        <w:t>Utility</w:t>
      </w:r>
      <w:r w:rsidR="00256205">
        <w:t xml:space="preserve"> shall prepare an allocation statement to apportion cost and revenues to wheeling and Retail supply business and submit it along with ARR for approval of Hon’ble Commission. </w:t>
      </w:r>
      <w:r w:rsidR="0048100F">
        <w:t xml:space="preserve"> </w:t>
      </w:r>
      <w:r w:rsidR="00256205">
        <w:t xml:space="preserve">In view of the same the utility is proposing the following allocation statement for kind approval of Hon’ble </w:t>
      </w:r>
      <w:r w:rsidR="004077F7">
        <w:t>Commission</w:t>
      </w:r>
      <w:r w:rsidR="00256205">
        <w:t>.</w:t>
      </w:r>
    </w:p>
    <w:p w:rsidR="00890EB3" w:rsidRDefault="00890EB3" w:rsidP="004077F7">
      <w:pPr>
        <w:autoSpaceDE w:val="0"/>
        <w:autoSpaceDN w:val="0"/>
        <w:adjustRightInd w:val="0"/>
        <w:spacing w:line="360" w:lineRule="auto"/>
        <w:ind w:firstLine="720"/>
        <w:jc w:val="both"/>
      </w:pPr>
    </w:p>
    <w:p w:rsidR="004077F7" w:rsidRDefault="004077F7" w:rsidP="004077F7">
      <w:pPr>
        <w:autoSpaceDE w:val="0"/>
        <w:autoSpaceDN w:val="0"/>
        <w:adjustRightInd w:val="0"/>
        <w:spacing w:line="360" w:lineRule="auto"/>
        <w:ind w:firstLine="720"/>
        <w:jc w:val="both"/>
        <w:rPr>
          <w:b/>
        </w:rPr>
      </w:pPr>
      <w:r w:rsidRPr="004077F7">
        <w:rPr>
          <w:rFonts w:ascii="Cambria" w:hAnsi="Cambria"/>
          <w:b/>
        </w:rPr>
        <w:t>Statement of allocation of Wheeling and Retail supply Cost</w:t>
      </w:r>
      <w:r w:rsidRPr="004077F7">
        <w:t>.</w:t>
      </w:r>
      <w:r>
        <w:tab/>
      </w:r>
      <w:r>
        <w:tab/>
      </w:r>
      <w:r w:rsidRPr="00AD7F05">
        <w:rPr>
          <w:b/>
        </w:rPr>
        <w:t xml:space="preserve">Rs. </w:t>
      </w:r>
      <w:r w:rsidR="00FC1250" w:rsidRPr="00AD7F05">
        <w:rPr>
          <w:b/>
        </w:rPr>
        <w:t>L</w:t>
      </w:r>
      <w:r w:rsidRPr="00AD7F05">
        <w:rPr>
          <w:b/>
        </w:rPr>
        <w:t>a</w:t>
      </w:r>
      <w:r w:rsidR="00184D82" w:rsidRPr="00AD7F05">
        <w:rPr>
          <w:b/>
        </w:rPr>
        <w:t>kh</w:t>
      </w:r>
    </w:p>
    <w:tbl>
      <w:tblPr>
        <w:tblW w:w="10520" w:type="dxa"/>
        <w:tblInd w:w="-494" w:type="dxa"/>
        <w:tblLook w:val="04A0"/>
      </w:tblPr>
      <w:tblGrid>
        <w:gridCol w:w="640"/>
        <w:gridCol w:w="2520"/>
        <w:gridCol w:w="1420"/>
        <w:gridCol w:w="1600"/>
        <w:gridCol w:w="1580"/>
        <w:gridCol w:w="1400"/>
        <w:gridCol w:w="1360"/>
      </w:tblGrid>
      <w:tr w:rsidR="002259B2" w:rsidTr="002259B2">
        <w:trPr>
          <w:trHeight w:val="1500"/>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59B2" w:rsidRDefault="002259B2">
            <w:pPr>
              <w:rPr>
                <w:rFonts w:ascii="Calibri" w:hAnsi="Calibri" w:cs="Arial"/>
                <w:b/>
                <w:bCs/>
                <w:color w:val="000000"/>
                <w:sz w:val="22"/>
                <w:szCs w:val="22"/>
              </w:rPr>
            </w:pPr>
            <w:r>
              <w:rPr>
                <w:rFonts w:ascii="Calibri" w:hAnsi="Calibri" w:cs="Arial"/>
                <w:b/>
                <w:bCs/>
                <w:color w:val="000000"/>
                <w:sz w:val="22"/>
                <w:szCs w:val="22"/>
              </w:rPr>
              <w:t>Sl No.</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2259B2" w:rsidRDefault="002259B2">
            <w:pPr>
              <w:rPr>
                <w:rFonts w:ascii="Calibri" w:hAnsi="Calibri" w:cs="Arial"/>
                <w:b/>
                <w:bCs/>
                <w:color w:val="000000"/>
                <w:sz w:val="22"/>
                <w:szCs w:val="22"/>
              </w:rPr>
            </w:pPr>
            <w:r>
              <w:rPr>
                <w:rFonts w:ascii="Calibri" w:hAnsi="Calibri" w:cs="Arial"/>
                <w:b/>
                <w:bCs/>
                <w:color w:val="000000"/>
                <w:sz w:val="22"/>
                <w:szCs w:val="22"/>
              </w:rPr>
              <w:t>Cost/Income Component</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2259B2" w:rsidRDefault="002259B2">
            <w:pPr>
              <w:jc w:val="center"/>
              <w:rPr>
                <w:rFonts w:ascii="Calibri" w:hAnsi="Calibri" w:cs="Arial"/>
                <w:b/>
                <w:bCs/>
                <w:color w:val="000000"/>
                <w:sz w:val="22"/>
                <w:szCs w:val="22"/>
              </w:rPr>
            </w:pPr>
            <w:r>
              <w:rPr>
                <w:rFonts w:ascii="Calibri" w:hAnsi="Calibri" w:cs="Arial"/>
                <w:b/>
                <w:bCs/>
                <w:color w:val="000000"/>
                <w:sz w:val="22"/>
                <w:szCs w:val="22"/>
              </w:rPr>
              <w:t>ARR for FY 2020-21</w:t>
            </w:r>
          </w:p>
        </w:tc>
        <w:tc>
          <w:tcPr>
            <w:tcW w:w="1600" w:type="dxa"/>
            <w:tcBorders>
              <w:top w:val="single" w:sz="4" w:space="0" w:color="auto"/>
              <w:left w:val="nil"/>
              <w:bottom w:val="single" w:sz="4" w:space="0" w:color="auto"/>
              <w:right w:val="single" w:sz="4" w:space="0" w:color="auto"/>
            </w:tcBorders>
            <w:shd w:val="clear" w:color="auto" w:fill="auto"/>
            <w:vAlign w:val="center"/>
            <w:hideMark/>
          </w:tcPr>
          <w:p w:rsidR="002259B2" w:rsidRDefault="002259B2">
            <w:pPr>
              <w:jc w:val="center"/>
              <w:rPr>
                <w:rFonts w:ascii="Calibri" w:hAnsi="Calibri" w:cs="Arial"/>
                <w:b/>
                <w:bCs/>
                <w:color w:val="000000"/>
                <w:sz w:val="22"/>
                <w:szCs w:val="22"/>
              </w:rPr>
            </w:pPr>
            <w:r>
              <w:rPr>
                <w:rFonts w:ascii="Calibri" w:hAnsi="Calibri" w:cs="Arial"/>
                <w:b/>
                <w:bCs/>
                <w:color w:val="000000"/>
                <w:sz w:val="22"/>
                <w:szCs w:val="22"/>
              </w:rPr>
              <w:t>Assumption Ratio for consideration in Wheeling Business</w:t>
            </w:r>
          </w:p>
        </w:tc>
        <w:tc>
          <w:tcPr>
            <w:tcW w:w="1580" w:type="dxa"/>
            <w:tcBorders>
              <w:top w:val="single" w:sz="4" w:space="0" w:color="auto"/>
              <w:left w:val="nil"/>
              <w:bottom w:val="single" w:sz="4" w:space="0" w:color="auto"/>
              <w:right w:val="single" w:sz="4" w:space="0" w:color="auto"/>
            </w:tcBorders>
            <w:shd w:val="clear" w:color="auto" w:fill="auto"/>
            <w:vAlign w:val="center"/>
            <w:hideMark/>
          </w:tcPr>
          <w:p w:rsidR="002259B2" w:rsidRDefault="002259B2">
            <w:pPr>
              <w:jc w:val="center"/>
              <w:rPr>
                <w:rFonts w:ascii="Calibri" w:hAnsi="Calibri" w:cs="Arial"/>
                <w:b/>
                <w:bCs/>
                <w:color w:val="000000"/>
                <w:sz w:val="22"/>
                <w:szCs w:val="22"/>
              </w:rPr>
            </w:pPr>
            <w:r>
              <w:rPr>
                <w:rFonts w:ascii="Calibri" w:hAnsi="Calibri" w:cs="Arial"/>
                <w:b/>
                <w:bCs/>
                <w:color w:val="000000"/>
                <w:sz w:val="22"/>
                <w:szCs w:val="22"/>
              </w:rPr>
              <w:t>Assumption Ratio for consideration in Retail Supply Business</w:t>
            </w:r>
          </w:p>
        </w:tc>
        <w:tc>
          <w:tcPr>
            <w:tcW w:w="1400" w:type="dxa"/>
            <w:tcBorders>
              <w:top w:val="single" w:sz="4" w:space="0" w:color="auto"/>
              <w:left w:val="nil"/>
              <w:bottom w:val="single" w:sz="4" w:space="0" w:color="auto"/>
              <w:right w:val="single" w:sz="4" w:space="0" w:color="auto"/>
            </w:tcBorders>
            <w:shd w:val="clear" w:color="auto" w:fill="auto"/>
            <w:vAlign w:val="center"/>
            <w:hideMark/>
          </w:tcPr>
          <w:p w:rsidR="002259B2" w:rsidRDefault="002259B2">
            <w:pPr>
              <w:jc w:val="center"/>
              <w:rPr>
                <w:rFonts w:ascii="Calibri" w:hAnsi="Calibri" w:cs="Arial"/>
                <w:b/>
                <w:bCs/>
                <w:color w:val="000000"/>
                <w:sz w:val="22"/>
                <w:szCs w:val="22"/>
              </w:rPr>
            </w:pPr>
            <w:r>
              <w:rPr>
                <w:rFonts w:ascii="Calibri" w:hAnsi="Calibri" w:cs="Arial"/>
                <w:b/>
                <w:bCs/>
                <w:color w:val="000000"/>
                <w:sz w:val="22"/>
                <w:szCs w:val="22"/>
              </w:rPr>
              <w:t>Wheeling cost for FY 20-21</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2259B2" w:rsidRDefault="002259B2">
            <w:pPr>
              <w:jc w:val="center"/>
              <w:rPr>
                <w:rFonts w:ascii="Calibri" w:hAnsi="Calibri" w:cs="Arial"/>
                <w:b/>
                <w:bCs/>
                <w:color w:val="000000"/>
                <w:sz w:val="22"/>
                <w:szCs w:val="22"/>
              </w:rPr>
            </w:pPr>
            <w:r>
              <w:rPr>
                <w:rFonts w:ascii="Calibri" w:hAnsi="Calibri" w:cs="Arial"/>
                <w:b/>
                <w:bCs/>
                <w:color w:val="000000"/>
                <w:sz w:val="22"/>
                <w:szCs w:val="22"/>
              </w:rPr>
              <w:t>Retail supply Cost for FY 20-21</w:t>
            </w:r>
          </w:p>
        </w:tc>
      </w:tr>
      <w:tr w:rsidR="002259B2" w:rsidTr="002259B2">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1</w:t>
            </w:r>
          </w:p>
        </w:tc>
        <w:tc>
          <w:tcPr>
            <w:tcW w:w="252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Arial" w:hAnsi="Arial" w:cs="Arial"/>
                <w:sz w:val="20"/>
                <w:szCs w:val="20"/>
              </w:rPr>
            </w:pPr>
            <w:r>
              <w:rPr>
                <w:rFonts w:ascii="Arial" w:hAnsi="Arial" w:cs="Arial"/>
                <w:sz w:val="20"/>
                <w:szCs w:val="20"/>
              </w:rPr>
              <w:t>Cost of Power</w:t>
            </w:r>
          </w:p>
        </w:tc>
        <w:tc>
          <w:tcPr>
            <w:tcW w:w="142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195697.76</w:t>
            </w:r>
          </w:p>
        </w:tc>
        <w:tc>
          <w:tcPr>
            <w:tcW w:w="160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0%</w:t>
            </w:r>
          </w:p>
        </w:tc>
        <w:tc>
          <w:tcPr>
            <w:tcW w:w="158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100%</w:t>
            </w:r>
          </w:p>
        </w:tc>
        <w:tc>
          <w:tcPr>
            <w:tcW w:w="140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10431.43</w:t>
            </w:r>
          </w:p>
        </w:tc>
        <w:tc>
          <w:tcPr>
            <w:tcW w:w="136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185266.33</w:t>
            </w:r>
          </w:p>
        </w:tc>
      </w:tr>
      <w:tr w:rsidR="002259B2" w:rsidTr="002259B2">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2</w:t>
            </w:r>
          </w:p>
        </w:tc>
        <w:tc>
          <w:tcPr>
            <w:tcW w:w="252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Arial" w:hAnsi="Arial" w:cs="Arial"/>
                <w:sz w:val="20"/>
                <w:szCs w:val="20"/>
              </w:rPr>
            </w:pPr>
            <w:r>
              <w:rPr>
                <w:rFonts w:ascii="Arial" w:hAnsi="Arial" w:cs="Arial"/>
                <w:sz w:val="20"/>
                <w:szCs w:val="20"/>
              </w:rPr>
              <w:t>Transmission Charges</w:t>
            </w:r>
          </w:p>
        </w:tc>
        <w:tc>
          <w:tcPr>
            <w:tcW w:w="142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16417.60</w:t>
            </w:r>
          </w:p>
        </w:tc>
        <w:tc>
          <w:tcPr>
            <w:tcW w:w="160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0%</w:t>
            </w:r>
          </w:p>
        </w:tc>
        <w:tc>
          <w:tcPr>
            <w:tcW w:w="158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100%</w:t>
            </w:r>
          </w:p>
        </w:tc>
        <w:tc>
          <w:tcPr>
            <w:tcW w:w="140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875.12</w:t>
            </w:r>
          </w:p>
        </w:tc>
        <w:tc>
          <w:tcPr>
            <w:tcW w:w="136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15542.48</w:t>
            </w:r>
          </w:p>
        </w:tc>
      </w:tr>
      <w:tr w:rsidR="002259B2" w:rsidTr="002259B2">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3</w:t>
            </w:r>
          </w:p>
        </w:tc>
        <w:tc>
          <w:tcPr>
            <w:tcW w:w="252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Arial" w:hAnsi="Arial" w:cs="Arial"/>
                <w:sz w:val="20"/>
                <w:szCs w:val="20"/>
              </w:rPr>
            </w:pPr>
            <w:r>
              <w:rPr>
                <w:rFonts w:ascii="Arial" w:hAnsi="Arial" w:cs="Arial"/>
                <w:sz w:val="20"/>
                <w:szCs w:val="20"/>
              </w:rPr>
              <w:t>SLDC Charges</w:t>
            </w:r>
          </w:p>
        </w:tc>
        <w:tc>
          <w:tcPr>
            <w:tcW w:w="142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97.80</w:t>
            </w:r>
          </w:p>
        </w:tc>
        <w:tc>
          <w:tcPr>
            <w:tcW w:w="160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0%</w:t>
            </w:r>
          </w:p>
        </w:tc>
        <w:tc>
          <w:tcPr>
            <w:tcW w:w="158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100%</w:t>
            </w:r>
          </w:p>
        </w:tc>
        <w:tc>
          <w:tcPr>
            <w:tcW w:w="140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 </w:t>
            </w:r>
          </w:p>
        </w:tc>
        <w:tc>
          <w:tcPr>
            <w:tcW w:w="136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97.80</w:t>
            </w:r>
          </w:p>
        </w:tc>
      </w:tr>
      <w:tr w:rsidR="002259B2" w:rsidTr="002259B2">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259B2" w:rsidRDefault="002259B2">
            <w:pPr>
              <w:rPr>
                <w:rFonts w:ascii="Arial" w:hAnsi="Arial" w:cs="Arial"/>
                <w:sz w:val="20"/>
                <w:szCs w:val="20"/>
              </w:rPr>
            </w:pPr>
            <w:r>
              <w:rPr>
                <w:rFonts w:ascii="Arial" w:hAnsi="Arial" w:cs="Arial"/>
                <w:sz w:val="20"/>
                <w:szCs w:val="20"/>
              </w:rPr>
              <w:t> </w:t>
            </w:r>
          </w:p>
        </w:tc>
        <w:tc>
          <w:tcPr>
            <w:tcW w:w="252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b/>
                <w:bCs/>
                <w:sz w:val="20"/>
                <w:szCs w:val="20"/>
              </w:rPr>
            </w:pPr>
            <w:r>
              <w:rPr>
                <w:rFonts w:ascii="Arial" w:hAnsi="Arial" w:cs="Arial"/>
                <w:b/>
                <w:bCs/>
                <w:sz w:val="20"/>
                <w:szCs w:val="20"/>
              </w:rPr>
              <w:t>Total power purchase cost *</w:t>
            </w:r>
          </w:p>
        </w:tc>
        <w:tc>
          <w:tcPr>
            <w:tcW w:w="142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b/>
                <w:bCs/>
                <w:sz w:val="20"/>
                <w:szCs w:val="20"/>
              </w:rPr>
            </w:pPr>
            <w:r>
              <w:rPr>
                <w:rFonts w:ascii="Arial" w:hAnsi="Arial" w:cs="Arial"/>
                <w:b/>
                <w:bCs/>
                <w:sz w:val="20"/>
                <w:szCs w:val="20"/>
              </w:rPr>
              <w:t>212213.16</w:t>
            </w:r>
          </w:p>
        </w:tc>
        <w:tc>
          <w:tcPr>
            <w:tcW w:w="160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 </w:t>
            </w:r>
          </w:p>
        </w:tc>
        <w:tc>
          <w:tcPr>
            <w:tcW w:w="158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b/>
                <w:bCs/>
                <w:sz w:val="20"/>
                <w:szCs w:val="20"/>
              </w:rPr>
            </w:pPr>
            <w:r>
              <w:rPr>
                <w:rFonts w:ascii="Arial" w:hAnsi="Arial" w:cs="Arial"/>
                <w:b/>
                <w:bCs/>
                <w:sz w:val="20"/>
                <w:szCs w:val="20"/>
              </w:rPr>
              <w:t>11306.55</w:t>
            </w:r>
          </w:p>
        </w:tc>
        <w:tc>
          <w:tcPr>
            <w:tcW w:w="136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b/>
                <w:bCs/>
                <w:sz w:val="20"/>
                <w:szCs w:val="20"/>
              </w:rPr>
            </w:pPr>
            <w:r>
              <w:rPr>
                <w:rFonts w:ascii="Arial" w:hAnsi="Arial" w:cs="Arial"/>
                <w:b/>
                <w:bCs/>
                <w:sz w:val="20"/>
                <w:szCs w:val="20"/>
              </w:rPr>
              <w:t>200906.61</w:t>
            </w:r>
          </w:p>
        </w:tc>
      </w:tr>
      <w:tr w:rsidR="002259B2" w:rsidTr="002259B2">
        <w:trPr>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259B2" w:rsidRDefault="002259B2">
            <w:pPr>
              <w:rPr>
                <w:rFonts w:ascii="Arial" w:hAnsi="Arial" w:cs="Arial"/>
                <w:sz w:val="20"/>
                <w:szCs w:val="20"/>
              </w:rPr>
            </w:pPr>
            <w:r>
              <w:rPr>
                <w:rFonts w:ascii="Arial" w:hAnsi="Arial" w:cs="Arial"/>
                <w:sz w:val="20"/>
                <w:szCs w:val="20"/>
              </w:rPr>
              <w:lastRenderedPageBreak/>
              <w:t> </w:t>
            </w:r>
          </w:p>
        </w:tc>
        <w:tc>
          <w:tcPr>
            <w:tcW w:w="252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Calibri" w:hAnsi="Calibri" w:cs="Arial"/>
                <w:b/>
                <w:bCs/>
                <w:color w:val="000000"/>
                <w:sz w:val="22"/>
                <w:szCs w:val="22"/>
              </w:rPr>
            </w:pPr>
            <w:r>
              <w:rPr>
                <w:rFonts w:ascii="Calibri" w:hAnsi="Calibri" w:cs="Arial"/>
                <w:b/>
                <w:bCs/>
                <w:color w:val="000000"/>
                <w:sz w:val="22"/>
                <w:szCs w:val="22"/>
              </w:rPr>
              <w:t>O&amp;M</w:t>
            </w:r>
          </w:p>
        </w:tc>
        <w:tc>
          <w:tcPr>
            <w:tcW w:w="142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Calibri" w:hAnsi="Calibri" w:cs="Arial"/>
                <w:b/>
                <w:bCs/>
                <w:color w:val="000000"/>
                <w:sz w:val="22"/>
                <w:szCs w:val="22"/>
              </w:rPr>
            </w:pPr>
            <w:r>
              <w:rPr>
                <w:rFonts w:ascii="Calibri" w:hAnsi="Calibri" w:cs="Arial"/>
                <w:b/>
                <w:bCs/>
                <w:color w:val="000000"/>
                <w:sz w:val="22"/>
                <w:szCs w:val="22"/>
              </w:rPr>
              <w:t> </w:t>
            </w:r>
          </w:p>
        </w:tc>
        <w:tc>
          <w:tcPr>
            <w:tcW w:w="160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 </w:t>
            </w:r>
          </w:p>
        </w:tc>
        <w:tc>
          <w:tcPr>
            <w:tcW w:w="158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Calibri" w:hAnsi="Calibri" w:cs="Arial"/>
                <w:b/>
                <w:bCs/>
                <w:color w:val="000000"/>
                <w:sz w:val="22"/>
                <w:szCs w:val="22"/>
              </w:rPr>
            </w:pPr>
            <w:r>
              <w:rPr>
                <w:rFonts w:ascii="Calibri" w:hAnsi="Calibri" w:cs="Arial"/>
                <w:b/>
                <w:bCs/>
                <w:color w:val="000000"/>
                <w:sz w:val="22"/>
                <w:szCs w:val="22"/>
              </w:rPr>
              <w:t> </w:t>
            </w:r>
          </w:p>
        </w:tc>
        <w:tc>
          <w:tcPr>
            <w:tcW w:w="136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Calibri" w:hAnsi="Calibri" w:cs="Arial"/>
                <w:b/>
                <w:bCs/>
                <w:color w:val="000000"/>
                <w:sz w:val="22"/>
                <w:szCs w:val="22"/>
              </w:rPr>
            </w:pPr>
            <w:r>
              <w:rPr>
                <w:rFonts w:ascii="Calibri" w:hAnsi="Calibri" w:cs="Arial"/>
                <w:b/>
                <w:bCs/>
                <w:color w:val="000000"/>
                <w:sz w:val="22"/>
                <w:szCs w:val="22"/>
              </w:rPr>
              <w:t> </w:t>
            </w:r>
          </w:p>
        </w:tc>
      </w:tr>
      <w:tr w:rsidR="002259B2" w:rsidTr="002259B2">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4</w:t>
            </w:r>
          </w:p>
        </w:tc>
        <w:tc>
          <w:tcPr>
            <w:tcW w:w="252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Arial" w:hAnsi="Arial" w:cs="Arial"/>
                <w:sz w:val="20"/>
                <w:szCs w:val="20"/>
              </w:rPr>
            </w:pPr>
            <w:r>
              <w:rPr>
                <w:rFonts w:ascii="Arial" w:hAnsi="Arial" w:cs="Arial"/>
                <w:sz w:val="20"/>
                <w:szCs w:val="20"/>
              </w:rPr>
              <w:t>Employee Cost</w:t>
            </w:r>
          </w:p>
        </w:tc>
        <w:tc>
          <w:tcPr>
            <w:tcW w:w="142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39250.99</w:t>
            </w:r>
          </w:p>
        </w:tc>
        <w:tc>
          <w:tcPr>
            <w:tcW w:w="160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60%</w:t>
            </w:r>
          </w:p>
        </w:tc>
        <w:tc>
          <w:tcPr>
            <w:tcW w:w="158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40%</w:t>
            </w:r>
          </w:p>
        </w:tc>
        <w:tc>
          <w:tcPr>
            <w:tcW w:w="140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23550.59</w:t>
            </w:r>
          </w:p>
        </w:tc>
        <w:tc>
          <w:tcPr>
            <w:tcW w:w="136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15700.40</w:t>
            </w:r>
          </w:p>
        </w:tc>
      </w:tr>
      <w:tr w:rsidR="002259B2" w:rsidTr="002259B2">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5</w:t>
            </w:r>
          </w:p>
        </w:tc>
        <w:tc>
          <w:tcPr>
            <w:tcW w:w="252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Arial" w:hAnsi="Arial" w:cs="Arial"/>
                <w:sz w:val="20"/>
                <w:szCs w:val="20"/>
              </w:rPr>
            </w:pPr>
            <w:r>
              <w:rPr>
                <w:rFonts w:ascii="Arial" w:hAnsi="Arial" w:cs="Arial"/>
                <w:sz w:val="20"/>
                <w:szCs w:val="20"/>
              </w:rPr>
              <w:t>Repair &amp; Maintenance Cost</w:t>
            </w:r>
          </w:p>
        </w:tc>
        <w:tc>
          <w:tcPr>
            <w:tcW w:w="142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13895.84</w:t>
            </w:r>
          </w:p>
        </w:tc>
        <w:tc>
          <w:tcPr>
            <w:tcW w:w="160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90%</w:t>
            </w:r>
          </w:p>
        </w:tc>
        <w:tc>
          <w:tcPr>
            <w:tcW w:w="158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10%</w:t>
            </w:r>
          </w:p>
        </w:tc>
        <w:tc>
          <w:tcPr>
            <w:tcW w:w="140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12506.26</w:t>
            </w:r>
          </w:p>
        </w:tc>
        <w:tc>
          <w:tcPr>
            <w:tcW w:w="136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1389.58</w:t>
            </w:r>
          </w:p>
        </w:tc>
      </w:tr>
      <w:tr w:rsidR="002259B2" w:rsidTr="002259B2">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6</w:t>
            </w:r>
          </w:p>
        </w:tc>
        <w:tc>
          <w:tcPr>
            <w:tcW w:w="252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Arial" w:hAnsi="Arial" w:cs="Arial"/>
                <w:sz w:val="20"/>
                <w:szCs w:val="20"/>
              </w:rPr>
            </w:pPr>
            <w:r>
              <w:rPr>
                <w:rFonts w:ascii="Arial" w:hAnsi="Arial" w:cs="Arial"/>
                <w:sz w:val="20"/>
                <w:szCs w:val="20"/>
              </w:rPr>
              <w:t>Administrative &amp; General Expenses</w:t>
            </w:r>
          </w:p>
        </w:tc>
        <w:tc>
          <w:tcPr>
            <w:tcW w:w="142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5010.33</w:t>
            </w:r>
          </w:p>
        </w:tc>
        <w:tc>
          <w:tcPr>
            <w:tcW w:w="160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40%</w:t>
            </w:r>
          </w:p>
        </w:tc>
        <w:tc>
          <w:tcPr>
            <w:tcW w:w="158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60%</w:t>
            </w:r>
          </w:p>
        </w:tc>
        <w:tc>
          <w:tcPr>
            <w:tcW w:w="140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2004.13</w:t>
            </w:r>
          </w:p>
        </w:tc>
        <w:tc>
          <w:tcPr>
            <w:tcW w:w="136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3006.20</w:t>
            </w:r>
          </w:p>
        </w:tc>
      </w:tr>
      <w:tr w:rsidR="002259B2" w:rsidTr="002259B2">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7</w:t>
            </w:r>
          </w:p>
        </w:tc>
        <w:tc>
          <w:tcPr>
            <w:tcW w:w="252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Arial" w:hAnsi="Arial" w:cs="Arial"/>
                <w:sz w:val="20"/>
                <w:szCs w:val="20"/>
              </w:rPr>
            </w:pPr>
            <w:r>
              <w:rPr>
                <w:rFonts w:ascii="Arial" w:hAnsi="Arial" w:cs="Arial"/>
                <w:sz w:val="20"/>
                <w:szCs w:val="20"/>
              </w:rPr>
              <w:t>Bad &amp; Doubtful Debt including Rebate</w:t>
            </w:r>
          </w:p>
        </w:tc>
        <w:tc>
          <w:tcPr>
            <w:tcW w:w="142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3934.76</w:t>
            </w:r>
          </w:p>
        </w:tc>
        <w:tc>
          <w:tcPr>
            <w:tcW w:w="160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0%</w:t>
            </w:r>
          </w:p>
        </w:tc>
        <w:tc>
          <w:tcPr>
            <w:tcW w:w="158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100%</w:t>
            </w:r>
          </w:p>
        </w:tc>
        <w:tc>
          <w:tcPr>
            <w:tcW w:w="140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0.00</w:t>
            </w:r>
          </w:p>
        </w:tc>
        <w:tc>
          <w:tcPr>
            <w:tcW w:w="136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3934.76</w:t>
            </w:r>
          </w:p>
        </w:tc>
      </w:tr>
      <w:tr w:rsidR="002259B2" w:rsidTr="002259B2">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8</w:t>
            </w:r>
          </w:p>
        </w:tc>
        <w:tc>
          <w:tcPr>
            <w:tcW w:w="252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Arial" w:hAnsi="Arial" w:cs="Arial"/>
                <w:sz w:val="20"/>
                <w:szCs w:val="20"/>
              </w:rPr>
            </w:pPr>
            <w:r>
              <w:rPr>
                <w:rFonts w:ascii="Arial" w:hAnsi="Arial" w:cs="Arial"/>
                <w:sz w:val="20"/>
                <w:szCs w:val="20"/>
              </w:rPr>
              <w:t>Depreciation</w:t>
            </w:r>
          </w:p>
        </w:tc>
        <w:tc>
          <w:tcPr>
            <w:tcW w:w="142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9281.64</w:t>
            </w:r>
          </w:p>
        </w:tc>
        <w:tc>
          <w:tcPr>
            <w:tcW w:w="160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90%</w:t>
            </w:r>
          </w:p>
        </w:tc>
        <w:tc>
          <w:tcPr>
            <w:tcW w:w="158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10%</w:t>
            </w:r>
          </w:p>
        </w:tc>
        <w:tc>
          <w:tcPr>
            <w:tcW w:w="140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8353.47</w:t>
            </w:r>
          </w:p>
        </w:tc>
        <w:tc>
          <w:tcPr>
            <w:tcW w:w="136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928.16</w:t>
            </w:r>
          </w:p>
        </w:tc>
      </w:tr>
      <w:tr w:rsidR="002259B2" w:rsidTr="002259B2">
        <w:trPr>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259B2" w:rsidRDefault="002259B2">
            <w:pPr>
              <w:rPr>
                <w:rFonts w:ascii="Arial" w:hAnsi="Arial" w:cs="Arial"/>
                <w:sz w:val="20"/>
                <w:szCs w:val="20"/>
              </w:rPr>
            </w:pPr>
            <w:r>
              <w:rPr>
                <w:rFonts w:ascii="Arial" w:hAnsi="Arial" w:cs="Arial"/>
                <w:sz w:val="20"/>
                <w:szCs w:val="20"/>
              </w:rPr>
              <w:t> </w:t>
            </w:r>
          </w:p>
        </w:tc>
        <w:tc>
          <w:tcPr>
            <w:tcW w:w="252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Calibri" w:hAnsi="Calibri" w:cs="Arial"/>
                <w:b/>
                <w:bCs/>
                <w:color w:val="000000"/>
                <w:sz w:val="22"/>
                <w:szCs w:val="22"/>
              </w:rPr>
            </w:pPr>
            <w:r>
              <w:rPr>
                <w:rFonts w:ascii="Calibri" w:hAnsi="Calibri" w:cs="Arial"/>
                <w:b/>
                <w:bCs/>
                <w:color w:val="000000"/>
                <w:sz w:val="22"/>
                <w:szCs w:val="22"/>
              </w:rPr>
              <w:t>Interest on Loans</w:t>
            </w:r>
          </w:p>
        </w:tc>
        <w:tc>
          <w:tcPr>
            <w:tcW w:w="142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Calibri" w:hAnsi="Calibri" w:cs="Arial"/>
                <w:b/>
                <w:bCs/>
                <w:color w:val="000000"/>
                <w:sz w:val="22"/>
                <w:szCs w:val="22"/>
              </w:rPr>
            </w:pPr>
            <w:r>
              <w:rPr>
                <w:rFonts w:ascii="Calibri" w:hAnsi="Calibri" w:cs="Arial"/>
                <w:b/>
                <w:bCs/>
                <w:color w:val="000000"/>
                <w:sz w:val="22"/>
                <w:szCs w:val="22"/>
              </w:rPr>
              <w:t> </w:t>
            </w:r>
          </w:p>
        </w:tc>
        <w:tc>
          <w:tcPr>
            <w:tcW w:w="160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 </w:t>
            </w:r>
          </w:p>
        </w:tc>
        <w:tc>
          <w:tcPr>
            <w:tcW w:w="158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Calibri" w:hAnsi="Calibri" w:cs="Arial"/>
                <w:b/>
                <w:bCs/>
                <w:color w:val="000000"/>
                <w:sz w:val="22"/>
                <w:szCs w:val="22"/>
              </w:rPr>
            </w:pPr>
            <w:r>
              <w:rPr>
                <w:rFonts w:ascii="Calibri" w:hAnsi="Calibri" w:cs="Arial"/>
                <w:b/>
                <w:bCs/>
                <w:color w:val="000000"/>
                <w:sz w:val="22"/>
                <w:szCs w:val="22"/>
              </w:rPr>
              <w:t> </w:t>
            </w:r>
          </w:p>
        </w:tc>
        <w:tc>
          <w:tcPr>
            <w:tcW w:w="136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Calibri" w:hAnsi="Calibri" w:cs="Arial"/>
                <w:b/>
                <w:bCs/>
                <w:color w:val="000000"/>
                <w:sz w:val="22"/>
                <w:szCs w:val="22"/>
              </w:rPr>
            </w:pPr>
            <w:r>
              <w:rPr>
                <w:rFonts w:ascii="Calibri" w:hAnsi="Calibri" w:cs="Arial"/>
                <w:b/>
                <w:bCs/>
                <w:color w:val="000000"/>
                <w:sz w:val="22"/>
                <w:szCs w:val="22"/>
              </w:rPr>
              <w:t> </w:t>
            </w:r>
          </w:p>
        </w:tc>
      </w:tr>
      <w:tr w:rsidR="002259B2" w:rsidTr="002259B2">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9</w:t>
            </w:r>
          </w:p>
        </w:tc>
        <w:tc>
          <w:tcPr>
            <w:tcW w:w="252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Arial" w:hAnsi="Arial" w:cs="Arial"/>
                <w:sz w:val="20"/>
                <w:szCs w:val="20"/>
              </w:rPr>
            </w:pPr>
            <w:r>
              <w:rPr>
                <w:rFonts w:ascii="Arial" w:hAnsi="Arial" w:cs="Arial"/>
                <w:sz w:val="20"/>
                <w:szCs w:val="20"/>
              </w:rPr>
              <w:t>for Capital loan</w:t>
            </w:r>
          </w:p>
        </w:tc>
        <w:tc>
          <w:tcPr>
            <w:tcW w:w="142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1436.34</w:t>
            </w:r>
          </w:p>
        </w:tc>
        <w:tc>
          <w:tcPr>
            <w:tcW w:w="160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90%</w:t>
            </w:r>
          </w:p>
        </w:tc>
        <w:tc>
          <w:tcPr>
            <w:tcW w:w="158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10%</w:t>
            </w:r>
          </w:p>
        </w:tc>
        <w:tc>
          <w:tcPr>
            <w:tcW w:w="140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1292.71</w:t>
            </w:r>
          </w:p>
        </w:tc>
        <w:tc>
          <w:tcPr>
            <w:tcW w:w="136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143.63</w:t>
            </w:r>
          </w:p>
        </w:tc>
      </w:tr>
      <w:tr w:rsidR="002259B2" w:rsidTr="002259B2">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10</w:t>
            </w:r>
          </w:p>
        </w:tc>
        <w:tc>
          <w:tcPr>
            <w:tcW w:w="252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Arial" w:hAnsi="Arial" w:cs="Arial"/>
                <w:sz w:val="20"/>
                <w:szCs w:val="20"/>
              </w:rPr>
            </w:pPr>
            <w:r>
              <w:rPr>
                <w:rFonts w:ascii="Arial" w:hAnsi="Arial" w:cs="Arial"/>
                <w:sz w:val="20"/>
                <w:szCs w:val="20"/>
              </w:rPr>
              <w:t>for Working capital</w:t>
            </w:r>
          </w:p>
        </w:tc>
        <w:tc>
          <w:tcPr>
            <w:tcW w:w="142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2976.98</w:t>
            </w:r>
          </w:p>
        </w:tc>
        <w:tc>
          <w:tcPr>
            <w:tcW w:w="160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10%</w:t>
            </w:r>
          </w:p>
        </w:tc>
        <w:tc>
          <w:tcPr>
            <w:tcW w:w="158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90%</w:t>
            </w:r>
          </w:p>
        </w:tc>
        <w:tc>
          <w:tcPr>
            <w:tcW w:w="140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297.70</w:t>
            </w:r>
          </w:p>
        </w:tc>
        <w:tc>
          <w:tcPr>
            <w:tcW w:w="136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2679.29</w:t>
            </w:r>
          </w:p>
        </w:tc>
      </w:tr>
      <w:tr w:rsidR="002259B2" w:rsidTr="002259B2">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11</w:t>
            </w:r>
          </w:p>
        </w:tc>
        <w:tc>
          <w:tcPr>
            <w:tcW w:w="252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Arial" w:hAnsi="Arial" w:cs="Arial"/>
                <w:sz w:val="20"/>
                <w:szCs w:val="20"/>
              </w:rPr>
            </w:pPr>
            <w:r>
              <w:rPr>
                <w:rFonts w:ascii="Arial" w:hAnsi="Arial" w:cs="Arial"/>
                <w:sz w:val="20"/>
                <w:szCs w:val="20"/>
              </w:rPr>
              <w:t>Interest on Security Deposits</w:t>
            </w:r>
          </w:p>
        </w:tc>
        <w:tc>
          <w:tcPr>
            <w:tcW w:w="142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3910.42</w:t>
            </w:r>
          </w:p>
        </w:tc>
        <w:tc>
          <w:tcPr>
            <w:tcW w:w="160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0%</w:t>
            </w:r>
          </w:p>
        </w:tc>
        <w:tc>
          <w:tcPr>
            <w:tcW w:w="158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100%</w:t>
            </w:r>
          </w:p>
        </w:tc>
        <w:tc>
          <w:tcPr>
            <w:tcW w:w="140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0.00</w:t>
            </w:r>
          </w:p>
        </w:tc>
        <w:tc>
          <w:tcPr>
            <w:tcW w:w="136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3910.42</w:t>
            </w:r>
          </w:p>
        </w:tc>
      </w:tr>
      <w:tr w:rsidR="002259B2" w:rsidTr="002259B2">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12</w:t>
            </w:r>
          </w:p>
        </w:tc>
        <w:tc>
          <w:tcPr>
            <w:tcW w:w="252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Arial" w:hAnsi="Arial" w:cs="Arial"/>
                <w:sz w:val="20"/>
                <w:szCs w:val="20"/>
              </w:rPr>
            </w:pPr>
            <w:r>
              <w:rPr>
                <w:rFonts w:ascii="Arial" w:hAnsi="Arial" w:cs="Arial"/>
                <w:sz w:val="20"/>
                <w:szCs w:val="20"/>
              </w:rPr>
              <w:t>Return on Equity</w:t>
            </w:r>
          </w:p>
        </w:tc>
        <w:tc>
          <w:tcPr>
            <w:tcW w:w="142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1054.58</w:t>
            </w:r>
          </w:p>
        </w:tc>
        <w:tc>
          <w:tcPr>
            <w:tcW w:w="160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90%</w:t>
            </w:r>
          </w:p>
        </w:tc>
        <w:tc>
          <w:tcPr>
            <w:tcW w:w="158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10%</w:t>
            </w:r>
          </w:p>
        </w:tc>
        <w:tc>
          <w:tcPr>
            <w:tcW w:w="140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949.12</w:t>
            </w:r>
          </w:p>
        </w:tc>
        <w:tc>
          <w:tcPr>
            <w:tcW w:w="136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105.46</w:t>
            </w:r>
          </w:p>
        </w:tc>
      </w:tr>
      <w:tr w:rsidR="002259B2" w:rsidTr="002259B2">
        <w:trPr>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259B2" w:rsidRDefault="002259B2">
            <w:pPr>
              <w:rPr>
                <w:rFonts w:ascii="Arial" w:hAnsi="Arial" w:cs="Arial"/>
                <w:sz w:val="20"/>
                <w:szCs w:val="20"/>
              </w:rPr>
            </w:pPr>
            <w:r>
              <w:rPr>
                <w:rFonts w:ascii="Arial" w:hAnsi="Arial" w:cs="Arial"/>
                <w:sz w:val="20"/>
                <w:szCs w:val="20"/>
              </w:rPr>
              <w:t> </w:t>
            </w:r>
          </w:p>
        </w:tc>
        <w:tc>
          <w:tcPr>
            <w:tcW w:w="252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Calibri" w:hAnsi="Calibri" w:cs="Arial"/>
                <w:b/>
                <w:bCs/>
                <w:color w:val="000000"/>
                <w:sz w:val="22"/>
                <w:szCs w:val="22"/>
              </w:rPr>
            </w:pPr>
            <w:r>
              <w:rPr>
                <w:rFonts w:ascii="Calibri" w:hAnsi="Calibri" w:cs="Arial"/>
                <w:b/>
                <w:bCs/>
                <w:color w:val="000000"/>
                <w:sz w:val="22"/>
                <w:szCs w:val="22"/>
              </w:rPr>
              <w:t>Special Appropriation</w:t>
            </w:r>
          </w:p>
        </w:tc>
        <w:tc>
          <w:tcPr>
            <w:tcW w:w="142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Calibri" w:hAnsi="Calibri" w:cs="Arial"/>
                <w:b/>
                <w:bCs/>
                <w:color w:val="000000"/>
                <w:sz w:val="22"/>
                <w:szCs w:val="22"/>
              </w:rPr>
            </w:pPr>
            <w:r>
              <w:rPr>
                <w:rFonts w:ascii="Calibri" w:hAnsi="Calibri" w:cs="Arial"/>
                <w:b/>
                <w:bCs/>
                <w:color w:val="000000"/>
                <w:sz w:val="22"/>
                <w:szCs w:val="22"/>
              </w:rPr>
              <w:t> </w:t>
            </w:r>
          </w:p>
        </w:tc>
        <w:tc>
          <w:tcPr>
            <w:tcW w:w="160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 </w:t>
            </w:r>
          </w:p>
        </w:tc>
        <w:tc>
          <w:tcPr>
            <w:tcW w:w="158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Calibri" w:hAnsi="Calibri" w:cs="Arial"/>
                <w:b/>
                <w:bCs/>
                <w:color w:val="000000"/>
                <w:sz w:val="22"/>
                <w:szCs w:val="22"/>
              </w:rPr>
            </w:pPr>
            <w:r>
              <w:rPr>
                <w:rFonts w:ascii="Calibri" w:hAnsi="Calibri" w:cs="Arial"/>
                <w:b/>
                <w:bCs/>
                <w:color w:val="000000"/>
                <w:sz w:val="22"/>
                <w:szCs w:val="22"/>
              </w:rPr>
              <w:t> </w:t>
            </w:r>
          </w:p>
        </w:tc>
        <w:tc>
          <w:tcPr>
            <w:tcW w:w="136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Calibri" w:hAnsi="Calibri" w:cs="Arial"/>
                <w:b/>
                <w:bCs/>
                <w:color w:val="000000"/>
                <w:sz w:val="22"/>
                <w:szCs w:val="22"/>
              </w:rPr>
            </w:pPr>
            <w:r>
              <w:rPr>
                <w:rFonts w:ascii="Calibri" w:hAnsi="Calibri" w:cs="Arial"/>
                <w:b/>
                <w:bCs/>
                <w:color w:val="000000"/>
                <w:sz w:val="22"/>
                <w:szCs w:val="22"/>
              </w:rPr>
              <w:t> </w:t>
            </w:r>
          </w:p>
        </w:tc>
      </w:tr>
      <w:tr w:rsidR="002259B2" w:rsidTr="002259B2">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13</w:t>
            </w:r>
          </w:p>
        </w:tc>
        <w:tc>
          <w:tcPr>
            <w:tcW w:w="252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Arial" w:hAnsi="Arial" w:cs="Arial"/>
                <w:sz w:val="20"/>
                <w:szCs w:val="20"/>
              </w:rPr>
            </w:pPr>
            <w:r>
              <w:rPr>
                <w:rFonts w:ascii="Arial" w:hAnsi="Arial" w:cs="Arial"/>
                <w:sz w:val="20"/>
                <w:szCs w:val="20"/>
              </w:rPr>
              <w:t>Amortization of Regulator Assets</w:t>
            </w:r>
          </w:p>
        </w:tc>
        <w:tc>
          <w:tcPr>
            <w:tcW w:w="142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0.00</w:t>
            </w:r>
          </w:p>
        </w:tc>
        <w:tc>
          <w:tcPr>
            <w:tcW w:w="160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25%</w:t>
            </w:r>
          </w:p>
        </w:tc>
        <w:tc>
          <w:tcPr>
            <w:tcW w:w="158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75%</w:t>
            </w:r>
          </w:p>
        </w:tc>
        <w:tc>
          <w:tcPr>
            <w:tcW w:w="140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0.00</w:t>
            </w:r>
          </w:p>
        </w:tc>
        <w:tc>
          <w:tcPr>
            <w:tcW w:w="136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0.00</w:t>
            </w:r>
          </w:p>
        </w:tc>
      </w:tr>
      <w:tr w:rsidR="002259B2" w:rsidTr="002259B2">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14</w:t>
            </w:r>
          </w:p>
        </w:tc>
        <w:tc>
          <w:tcPr>
            <w:tcW w:w="252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Arial" w:hAnsi="Arial" w:cs="Arial"/>
                <w:sz w:val="20"/>
                <w:szCs w:val="20"/>
              </w:rPr>
            </w:pPr>
            <w:r>
              <w:rPr>
                <w:rFonts w:ascii="Arial" w:hAnsi="Arial" w:cs="Arial"/>
                <w:sz w:val="20"/>
                <w:szCs w:val="20"/>
              </w:rPr>
              <w:t>True Up of Current year GAP 1/3</w:t>
            </w:r>
            <w:r w:rsidRPr="00DD660F">
              <w:rPr>
                <w:rFonts w:ascii="Arial" w:hAnsi="Arial" w:cs="Arial"/>
                <w:sz w:val="20"/>
                <w:szCs w:val="20"/>
                <w:vertAlign w:val="superscript"/>
              </w:rPr>
              <w:t>rd</w:t>
            </w:r>
          </w:p>
        </w:tc>
        <w:tc>
          <w:tcPr>
            <w:tcW w:w="142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0.00</w:t>
            </w:r>
          </w:p>
        </w:tc>
        <w:tc>
          <w:tcPr>
            <w:tcW w:w="160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25%</w:t>
            </w:r>
          </w:p>
        </w:tc>
        <w:tc>
          <w:tcPr>
            <w:tcW w:w="158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75%</w:t>
            </w:r>
          </w:p>
        </w:tc>
        <w:tc>
          <w:tcPr>
            <w:tcW w:w="140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0.00</w:t>
            </w:r>
          </w:p>
        </w:tc>
        <w:tc>
          <w:tcPr>
            <w:tcW w:w="136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0.00</w:t>
            </w:r>
          </w:p>
        </w:tc>
      </w:tr>
      <w:tr w:rsidR="002259B2" w:rsidTr="002259B2">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15</w:t>
            </w:r>
          </w:p>
        </w:tc>
        <w:tc>
          <w:tcPr>
            <w:tcW w:w="252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Arial" w:hAnsi="Arial" w:cs="Arial"/>
                <w:sz w:val="20"/>
                <w:szCs w:val="20"/>
              </w:rPr>
            </w:pPr>
            <w:r>
              <w:rPr>
                <w:rFonts w:ascii="Arial" w:hAnsi="Arial" w:cs="Arial"/>
                <w:sz w:val="20"/>
                <w:szCs w:val="20"/>
              </w:rPr>
              <w:t>Other, if any-Contigency Reserve</w:t>
            </w:r>
          </w:p>
        </w:tc>
        <w:tc>
          <w:tcPr>
            <w:tcW w:w="142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964.99</w:t>
            </w:r>
          </w:p>
        </w:tc>
        <w:tc>
          <w:tcPr>
            <w:tcW w:w="160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90%</w:t>
            </w:r>
          </w:p>
        </w:tc>
        <w:tc>
          <w:tcPr>
            <w:tcW w:w="158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10%</w:t>
            </w:r>
          </w:p>
        </w:tc>
        <w:tc>
          <w:tcPr>
            <w:tcW w:w="140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868.49</w:t>
            </w:r>
          </w:p>
        </w:tc>
        <w:tc>
          <w:tcPr>
            <w:tcW w:w="136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96.50</w:t>
            </w:r>
          </w:p>
        </w:tc>
      </w:tr>
      <w:tr w:rsidR="002259B2" w:rsidTr="002259B2">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259B2" w:rsidRDefault="002259B2">
            <w:pPr>
              <w:rPr>
                <w:rFonts w:ascii="Arial" w:hAnsi="Arial" w:cs="Arial"/>
                <w:sz w:val="20"/>
                <w:szCs w:val="20"/>
              </w:rPr>
            </w:pPr>
            <w:r>
              <w:rPr>
                <w:rFonts w:ascii="Arial" w:hAnsi="Arial" w:cs="Arial"/>
                <w:sz w:val="20"/>
                <w:szCs w:val="20"/>
              </w:rPr>
              <w:t> </w:t>
            </w:r>
          </w:p>
        </w:tc>
        <w:tc>
          <w:tcPr>
            <w:tcW w:w="252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b/>
                <w:bCs/>
                <w:sz w:val="20"/>
                <w:szCs w:val="20"/>
              </w:rPr>
            </w:pPr>
            <w:r>
              <w:rPr>
                <w:rFonts w:ascii="Arial" w:hAnsi="Arial" w:cs="Arial"/>
                <w:b/>
                <w:bCs/>
                <w:sz w:val="20"/>
                <w:szCs w:val="20"/>
              </w:rPr>
              <w:t>Grand Total</w:t>
            </w:r>
          </w:p>
        </w:tc>
        <w:tc>
          <w:tcPr>
            <w:tcW w:w="142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b/>
                <w:bCs/>
                <w:sz w:val="20"/>
                <w:szCs w:val="20"/>
              </w:rPr>
            </w:pPr>
            <w:r>
              <w:rPr>
                <w:rFonts w:ascii="Arial" w:hAnsi="Arial" w:cs="Arial"/>
                <w:b/>
                <w:bCs/>
                <w:sz w:val="20"/>
                <w:szCs w:val="20"/>
              </w:rPr>
              <w:t>293930.04</w:t>
            </w:r>
          </w:p>
        </w:tc>
        <w:tc>
          <w:tcPr>
            <w:tcW w:w="160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 </w:t>
            </w:r>
          </w:p>
        </w:tc>
        <w:tc>
          <w:tcPr>
            <w:tcW w:w="158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b/>
                <w:bCs/>
                <w:sz w:val="20"/>
                <w:szCs w:val="20"/>
              </w:rPr>
            </w:pPr>
            <w:r>
              <w:rPr>
                <w:rFonts w:ascii="Arial" w:hAnsi="Arial" w:cs="Arial"/>
                <w:b/>
                <w:bCs/>
                <w:sz w:val="20"/>
                <w:szCs w:val="20"/>
              </w:rPr>
              <w:t>61129.03</w:t>
            </w:r>
          </w:p>
        </w:tc>
        <w:tc>
          <w:tcPr>
            <w:tcW w:w="136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b/>
                <w:bCs/>
                <w:sz w:val="20"/>
                <w:szCs w:val="20"/>
              </w:rPr>
            </w:pPr>
            <w:r>
              <w:rPr>
                <w:rFonts w:ascii="Arial" w:hAnsi="Arial" w:cs="Arial"/>
                <w:b/>
                <w:bCs/>
                <w:sz w:val="20"/>
                <w:szCs w:val="20"/>
              </w:rPr>
              <w:t>232801.01</w:t>
            </w:r>
          </w:p>
        </w:tc>
      </w:tr>
      <w:tr w:rsidR="002259B2" w:rsidTr="002259B2">
        <w:trPr>
          <w:trHeight w:val="3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259B2" w:rsidRDefault="002259B2">
            <w:pPr>
              <w:rPr>
                <w:rFonts w:ascii="Arial" w:hAnsi="Arial" w:cs="Arial"/>
                <w:sz w:val="20"/>
                <w:szCs w:val="20"/>
              </w:rPr>
            </w:pPr>
            <w:r>
              <w:rPr>
                <w:rFonts w:ascii="Arial" w:hAnsi="Arial" w:cs="Arial"/>
                <w:sz w:val="20"/>
                <w:szCs w:val="20"/>
              </w:rPr>
              <w:t> </w:t>
            </w:r>
          </w:p>
        </w:tc>
        <w:tc>
          <w:tcPr>
            <w:tcW w:w="252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Calibri" w:hAnsi="Calibri" w:cs="Arial"/>
                <w:b/>
                <w:bCs/>
                <w:color w:val="000000"/>
                <w:sz w:val="22"/>
                <w:szCs w:val="22"/>
              </w:rPr>
            </w:pPr>
            <w:r>
              <w:rPr>
                <w:rFonts w:ascii="Calibri" w:hAnsi="Calibri" w:cs="Arial"/>
                <w:b/>
                <w:bCs/>
                <w:color w:val="000000"/>
                <w:sz w:val="22"/>
                <w:szCs w:val="22"/>
              </w:rPr>
              <w:t>Miscellaneous Receipt</w:t>
            </w:r>
          </w:p>
        </w:tc>
        <w:tc>
          <w:tcPr>
            <w:tcW w:w="142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Calibri" w:hAnsi="Calibri" w:cs="Arial"/>
                <w:b/>
                <w:bCs/>
                <w:color w:val="000000"/>
                <w:sz w:val="22"/>
                <w:szCs w:val="22"/>
              </w:rPr>
            </w:pPr>
            <w:r>
              <w:rPr>
                <w:rFonts w:ascii="Calibri" w:hAnsi="Calibri" w:cs="Arial"/>
                <w:b/>
                <w:bCs/>
                <w:color w:val="000000"/>
                <w:sz w:val="22"/>
                <w:szCs w:val="22"/>
              </w:rPr>
              <w:t> </w:t>
            </w:r>
          </w:p>
        </w:tc>
        <w:tc>
          <w:tcPr>
            <w:tcW w:w="160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 </w:t>
            </w:r>
          </w:p>
        </w:tc>
        <w:tc>
          <w:tcPr>
            <w:tcW w:w="158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Arial" w:hAnsi="Arial" w:cs="Arial"/>
                <w:sz w:val="20"/>
                <w:szCs w:val="20"/>
              </w:rPr>
            </w:pPr>
            <w:r>
              <w:rPr>
                <w:rFonts w:ascii="Arial" w:hAnsi="Arial" w:cs="Arial"/>
                <w:sz w:val="20"/>
                <w:szCs w:val="20"/>
              </w:rPr>
              <w:t> </w:t>
            </w:r>
          </w:p>
        </w:tc>
        <w:tc>
          <w:tcPr>
            <w:tcW w:w="140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Calibri" w:hAnsi="Calibri" w:cs="Arial"/>
                <w:b/>
                <w:bCs/>
                <w:color w:val="000000"/>
                <w:sz w:val="22"/>
                <w:szCs w:val="22"/>
              </w:rPr>
            </w:pPr>
            <w:r>
              <w:rPr>
                <w:rFonts w:ascii="Calibri" w:hAnsi="Calibri" w:cs="Arial"/>
                <w:b/>
                <w:bCs/>
                <w:color w:val="000000"/>
                <w:sz w:val="22"/>
                <w:szCs w:val="22"/>
              </w:rPr>
              <w:t> </w:t>
            </w:r>
          </w:p>
        </w:tc>
        <w:tc>
          <w:tcPr>
            <w:tcW w:w="136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Calibri" w:hAnsi="Calibri" w:cs="Arial"/>
                <w:b/>
                <w:bCs/>
                <w:color w:val="000000"/>
                <w:sz w:val="22"/>
                <w:szCs w:val="22"/>
              </w:rPr>
            </w:pPr>
            <w:r>
              <w:rPr>
                <w:rFonts w:ascii="Calibri" w:hAnsi="Calibri" w:cs="Arial"/>
                <w:b/>
                <w:bCs/>
                <w:color w:val="000000"/>
                <w:sz w:val="22"/>
                <w:szCs w:val="22"/>
              </w:rPr>
              <w:t> </w:t>
            </w:r>
          </w:p>
        </w:tc>
      </w:tr>
      <w:tr w:rsidR="002259B2" w:rsidTr="002259B2">
        <w:trPr>
          <w:trHeight w:val="6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16</w:t>
            </w:r>
          </w:p>
        </w:tc>
        <w:tc>
          <w:tcPr>
            <w:tcW w:w="252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Arial" w:hAnsi="Arial" w:cs="Arial"/>
                <w:sz w:val="20"/>
                <w:szCs w:val="20"/>
              </w:rPr>
            </w:pPr>
            <w:r>
              <w:rPr>
                <w:rFonts w:ascii="Arial" w:hAnsi="Arial" w:cs="Arial"/>
                <w:sz w:val="20"/>
                <w:szCs w:val="20"/>
              </w:rPr>
              <w:t xml:space="preserve">Non-Tariff Income </w:t>
            </w:r>
            <w:r w:rsidR="00DD660F">
              <w:rPr>
                <w:rFonts w:ascii="Arial" w:hAnsi="Arial" w:cs="Arial"/>
                <w:sz w:val="20"/>
                <w:szCs w:val="20"/>
              </w:rPr>
              <w:t>–</w:t>
            </w:r>
            <w:r>
              <w:rPr>
                <w:rFonts w:ascii="Arial" w:hAnsi="Arial" w:cs="Arial"/>
                <w:sz w:val="20"/>
                <w:szCs w:val="20"/>
              </w:rPr>
              <w:t xml:space="preserve"> Wheeling</w:t>
            </w:r>
          </w:p>
        </w:tc>
        <w:tc>
          <w:tcPr>
            <w:tcW w:w="142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873.37</w:t>
            </w:r>
          </w:p>
        </w:tc>
        <w:tc>
          <w:tcPr>
            <w:tcW w:w="160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Calibri" w:hAnsi="Calibri" w:cs="Arial"/>
                <w:color w:val="000000"/>
                <w:sz w:val="22"/>
                <w:szCs w:val="22"/>
              </w:rPr>
            </w:pPr>
            <w:r>
              <w:rPr>
                <w:rFonts w:ascii="Calibri" w:hAnsi="Calibri" w:cs="Arial"/>
                <w:color w:val="000000"/>
                <w:sz w:val="22"/>
                <w:szCs w:val="22"/>
              </w:rPr>
              <w:t>as per actual assumption</w:t>
            </w:r>
          </w:p>
        </w:tc>
        <w:tc>
          <w:tcPr>
            <w:tcW w:w="158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Calibri" w:hAnsi="Calibri" w:cs="Arial"/>
                <w:color w:val="000000"/>
                <w:sz w:val="22"/>
                <w:szCs w:val="22"/>
              </w:rPr>
            </w:pPr>
            <w:r>
              <w:rPr>
                <w:rFonts w:ascii="Calibri" w:hAnsi="Calibri" w:cs="Arial"/>
                <w:color w:val="000000"/>
                <w:sz w:val="22"/>
                <w:szCs w:val="22"/>
              </w:rPr>
              <w:t>as per actual assumption</w:t>
            </w:r>
          </w:p>
        </w:tc>
        <w:tc>
          <w:tcPr>
            <w:tcW w:w="140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873.37</w:t>
            </w:r>
          </w:p>
        </w:tc>
        <w:tc>
          <w:tcPr>
            <w:tcW w:w="136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0.00</w:t>
            </w:r>
          </w:p>
        </w:tc>
      </w:tr>
      <w:tr w:rsidR="002259B2" w:rsidTr="002259B2">
        <w:trPr>
          <w:trHeight w:val="60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17</w:t>
            </w:r>
          </w:p>
        </w:tc>
        <w:tc>
          <w:tcPr>
            <w:tcW w:w="252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Arial" w:hAnsi="Arial" w:cs="Arial"/>
                <w:sz w:val="20"/>
                <w:szCs w:val="20"/>
              </w:rPr>
            </w:pPr>
            <w:r>
              <w:rPr>
                <w:rFonts w:ascii="Arial" w:hAnsi="Arial" w:cs="Arial"/>
                <w:sz w:val="20"/>
                <w:szCs w:val="20"/>
              </w:rPr>
              <w:t>Non-Tariff Income - Retail Business</w:t>
            </w:r>
          </w:p>
        </w:tc>
        <w:tc>
          <w:tcPr>
            <w:tcW w:w="142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7011.94</w:t>
            </w:r>
          </w:p>
        </w:tc>
        <w:tc>
          <w:tcPr>
            <w:tcW w:w="160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Calibri" w:hAnsi="Calibri" w:cs="Arial"/>
                <w:color w:val="000000"/>
                <w:sz w:val="22"/>
                <w:szCs w:val="22"/>
              </w:rPr>
            </w:pPr>
            <w:r>
              <w:rPr>
                <w:rFonts w:ascii="Calibri" w:hAnsi="Calibri" w:cs="Arial"/>
                <w:color w:val="000000"/>
                <w:sz w:val="22"/>
                <w:szCs w:val="22"/>
              </w:rPr>
              <w:t>as per actual assumption</w:t>
            </w:r>
          </w:p>
        </w:tc>
        <w:tc>
          <w:tcPr>
            <w:tcW w:w="1580" w:type="dxa"/>
            <w:tcBorders>
              <w:top w:val="nil"/>
              <w:left w:val="nil"/>
              <w:bottom w:val="single" w:sz="4" w:space="0" w:color="auto"/>
              <w:right w:val="single" w:sz="4" w:space="0" w:color="auto"/>
            </w:tcBorders>
            <w:shd w:val="clear" w:color="auto" w:fill="auto"/>
            <w:vAlign w:val="center"/>
            <w:hideMark/>
          </w:tcPr>
          <w:p w:rsidR="002259B2" w:rsidRDefault="002259B2">
            <w:pPr>
              <w:jc w:val="center"/>
              <w:rPr>
                <w:rFonts w:ascii="Calibri" w:hAnsi="Calibri" w:cs="Arial"/>
                <w:color w:val="000000"/>
                <w:sz w:val="22"/>
                <w:szCs w:val="22"/>
              </w:rPr>
            </w:pPr>
            <w:r>
              <w:rPr>
                <w:rFonts w:ascii="Calibri" w:hAnsi="Calibri" w:cs="Arial"/>
                <w:color w:val="000000"/>
                <w:sz w:val="22"/>
                <w:szCs w:val="22"/>
              </w:rPr>
              <w:t>as per actual assumption</w:t>
            </w:r>
          </w:p>
        </w:tc>
        <w:tc>
          <w:tcPr>
            <w:tcW w:w="140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0.00</w:t>
            </w:r>
          </w:p>
        </w:tc>
        <w:tc>
          <w:tcPr>
            <w:tcW w:w="1360" w:type="dxa"/>
            <w:tcBorders>
              <w:top w:val="nil"/>
              <w:left w:val="nil"/>
              <w:bottom w:val="single" w:sz="4" w:space="0" w:color="auto"/>
              <w:right w:val="single" w:sz="4" w:space="0" w:color="auto"/>
            </w:tcBorders>
            <w:shd w:val="clear" w:color="auto" w:fill="auto"/>
            <w:vAlign w:val="center"/>
            <w:hideMark/>
          </w:tcPr>
          <w:p w:rsidR="002259B2" w:rsidRDefault="002259B2">
            <w:pPr>
              <w:jc w:val="right"/>
              <w:rPr>
                <w:rFonts w:ascii="Arial" w:hAnsi="Arial" w:cs="Arial"/>
                <w:sz w:val="20"/>
                <w:szCs w:val="20"/>
              </w:rPr>
            </w:pPr>
            <w:r>
              <w:rPr>
                <w:rFonts w:ascii="Arial" w:hAnsi="Arial" w:cs="Arial"/>
                <w:sz w:val="20"/>
                <w:szCs w:val="20"/>
              </w:rPr>
              <w:t>7011.94</w:t>
            </w:r>
          </w:p>
        </w:tc>
      </w:tr>
      <w:tr w:rsidR="002259B2" w:rsidTr="002259B2">
        <w:trPr>
          <w:trHeight w:val="255"/>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259B2" w:rsidRDefault="002259B2">
            <w:pPr>
              <w:jc w:val="right"/>
              <w:rPr>
                <w:rFonts w:ascii="Arial" w:hAnsi="Arial" w:cs="Arial"/>
                <w:b/>
                <w:bCs/>
                <w:sz w:val="20"/>
                <w:szCs w:val="20"/>
              </w:rPr>
            </w:pPr>
            <w:r>
              <w:rPr>
                <w:rFonts w:ascii="Arial" w:hAnsi="Arial" w:cs="Arial"/>
                <w:b/>
                <w:bCs/>
                <w:sz w:val="20"/>
                <w:szCs w:val="20"/>
              </w:rPr>
              <w:t>18</w:t>
            </w:r>
          </w:p>
        </w:tc>
        <w:tc>
          <w:tcPr>
            <w:tcW w:w="252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Arial" w:hAnsi="Arial" w:cs="Arial"/>
                <w:b/>
                <w:bCs/>
                <w:sz w:val="20"/>
                <w:szCs w:val="20"/>
              </w:rPr>
            </w:pPr>
            <w:r>
              <w:rPr>
                <w:rFonts w:ascii="Arial" w:hAnsi="Arial" w:cs="Arial"/>
                <w:b/>
                <w:bCs/>
                <w:sz w:val="20"/>
                <w:szCs w:val="20"/>
              </w:rPr>
              <w:t>Total Misc. Receipts</w:t>
            </w:r>
          </w:p>
        </w:tc>
        <w:tc>
          <w:tcPr>
            <w:tcW w:w="1420" w:type="dxa"/>
            <w:tcBorders>
              <w:top w:val="nil"/>
              <w:left w:val="nil"/>
              <w:bottom w:val="single" w:sz="4" w:space="0" w:color="auto"/>
              <w:right w:val="single" w:sz="4" w:space="0" w:color="auto"/>
            </w:tcBorders>
            <w:shd w:val="clear" w:color="auto" w:fill="auto"/>
            <w:noWrap/>
            <w:vAlign w:val="center"/>
            <w:hideMark/>
          </w:tcPr>
          <w:p w:rsidR="002259B2" w:rsidRDefault="002259B2">
            <w:pPr>
              <w:jc w:val="right"/>
              <w:rPr>
                <w:rFonts w:ascii="Arial" w:hAnsi="Arial" w:cs="Arial"/>
                <w:b/>
                <w:bCs/>
                <w:sz w:val="20"/>
                <w:szCs w:val="20"/>
              </w:rPr>
            </w:pPr>
            <w:r>
              <w:rPr>
                <w:rFonts w:ascii="Arial" w:hAnsi="Arial" w:cs="Arial"/>
                <w:b/>
                <w:bCs/>
                <w:sz w:val="20"/>
                <w:szCs w:val="20"/>
              </w:rPr>
              <w:t>7885.32</w:t>
            </w:r>
          </w:p>
        </w:tc>
        <w:tc>
          <w:tcPr>
            <w:tcW w:w="1600" w:type="dxa"/>
            <w:tcBorders>
              <w:top w:val="nil"/>
              <w:left w:val="nil"/>
              <w:bottom w:val="single" w:sz="4" w:space="0" w:color="auto"/>
              <w:right w:val="single" w:sz="4" w:space="0" w:color="auto"/>
            </w:tcBorders>
            <w:shd w:val="clear" w:color="auto" w:fill="auto"/>
            <w:noWrap/>
            <w:vAlign w:val="center"/>
            <w:hideMark/>
          </w:tcPr>
          <w:p w:rsidR="002259B2" w:rsidRDefault="002259B2">
            <w:pPr>
              <w:rPr>
                <w:rFonts w:ascii="Arial" w:hAnsi="Arial" w:cs="Arial"/>
                <w:b/>
                <w:bCs/>
                <w:sz w:val="20"/>
                <w:szCs w:val="20"/>
              </w:rPr>
            </w:pPr>
            <w:r>
              <w:rPr>
                <w:rFonts w:ascii="Arial" w:hAnsi="Arial" w:cs="Arial"/>
                <w:b/>
                <w:bCs/>
                <w:sz w:val="20"/>
                <w:szCs w:val="20"/>
              </w:rPr>
              <w:t> </w:t>
            </w:r>
          </w:p>
        </w:tc>
        <w:tc>
          <w:tcPr>
            <w:tcW w:w="1580" w:type="dxa"/>
            <w:tcBorders>
              <w:top w:val="nil"/>
              <w:left w:val="nil"/>
              <w:bottom w:val="single" w:sz="4" w:space="0" w:color="auto"/>
              <w:right w:val="single" w:sz="4" w:space="0" w:color="auto"/>
            </w:tcBorders>
            <w:shd w:val="clear" w:color="auto" w:fill="auto"/>
            <w:noWrap/>
            <w:vAlign w:val="center"/>
            <w:hideMark/>
          </w:tcPr>
          <w:p w:rsidR="002259B2" w:rsidRDefault="002259B2">
            <w:pPr>
              <w:rPr>
                <w:rFonts w:ascii="Arial" w:hAnsi="Arial" w:cs="Arial"/>
                <w:b/>
                <w:bCs/>
                <w:sz w:val="20"/>
                <w:szCs w:val="20"/>
              </w:rPr>
            </w:pPr>
            <w:r>
              <w:rPr>
                <w:rFonts w:ascii="Arial" w:hAnsi="Arial" w:cs="Arial"/>
                <w:b/>
                <w:bCs/>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2259B2" w:rsidRDefault="002259B2">
            <w:pPr>
              <w:jc w:val="right"/>
              <w:rPr>
                <w:rFonts w:ascii="Arial" w:hAnsi="Arial" w:cs="Arial"/>
                <w:b/>
                <w:bCs/>
                <w:sz w:val="20"/>
                <w:szCs w:val="20"/>
              </w:rPr>
            </w:pPr>
            <w:r>
              <w:rPr>
                <w:rFonts w:ascii="Arial" w:hAnsi="Arial" w:cs="Arial"/>
                <w:b/>
                <w:bCs/>
                <w:sz w:val="20"/>
                <w:szCs w:val="20"/>
              </w:rPr>
              <w:t>873.37</w:t>
            </w:r>
          </w:p>
        </w:tc>
        <w:tc>
          <w:tcPr>
            <w:tcW w:w="1360" w:type="dxa"/>
            <w:tcBorders>
              <w:top w:val="nil"/>
              <w:left w:val="nil"/>
              <w:bottom w:val="single" w:sz="4" w:space="0" w:color="auto"/>
              <w:right w:val="single" w:sz="4" w:space="0" w:color="auto"/>
            </w:tcBorders>
            <w:shd w:val="clear" w:color="auto" w:fill="auto"/>
            <w:noWrap/>
            <w:vAlign w:val="center"/>
            <w:hideMark/>
          </w:tcPr>
          <w:p w:rsidR="002259B2" w:rsidRDefault="002259B2">
            <w:pPr>
              <w:jc w:val="right"/>
              <w:rPr>
                <w:rFonts w:ascii="Arial" w:hAnsi="Arial" w:cs="Arial"/>
                <w:b/>
                <w:bCs/>
                <w:sz w:val="20"/>
                <w:szCs w:val="20"/>
              </w:rPr>
            </w:pPr>
            <w:r>
              <w:rPr>
                <w:rFonts w:ascii="Arial" w:hAnsi="Arial" w:cs="Arial"/>
                <w:b/>
                <w:bCs/>
                <w:sz w:val="20"/>
                <w:szCs w:val="20"/>
              </w:rPr>
              <w:t>7011.94</w:t>
            </w:r>
          </w:p>
        </w:tc>
      </w:tr>
      <w:tr w:rsidR="002259B2" w:rsidTr="002259B2">
        <w:trPr>
          <w:trHeight w:val="510"/>
        </w:trPr>
        <w:tc>
          <w:tcPr>
            <w:tcW w:w="640" w:type="dxa"/>
            <w:tcBorders>
              <w:top w:val="nil"/>
              <w:left w:val="single" w:sz="4" w:space="0" w:color="auto"/>
              <w:bottom w:val="single" w:sz="4" w:space="0" w:color="auto"/>
              <w:right w:val="single" w:sz="4" w:space="0" w:color="auto"/>
            </w:tcBorders>
            <w:shd w:val="clear" w:color="auto" w:fill="auto"/>
            <w:vAlign w:val="center"/>
            <w:hideMark/>
          </w:tcPr>
          <w:p w:rsidR="002259B2" w:rsidRDefault="002259B2">
            <w:pPr>
              <w:jc w:val="right"/>
              <w:rPr>
                <w:rFonts w:ascii="Arial" w:hAnsi="Arial" w:cs="Arial"/>
                <w:b/>
                <w:bCs/>
                <w:sz w:val="20"/>
                <w:szCs w:val="20"/>
              </w:rPr>
            </w:pPr>
            <w:r>
              <w:rPr>
                <w:rFonts w:ascii="Arial" w:hAnsi="Arial" w:cs="Arial"/>
                <w:b/>
                <w:bCs/>
                <w:sz w:val="20"/>
                <w:szCs w:val="20"/>
              </w:rPr>
              <w:t>19</w:t>
            </w:r>
          </w:p>
        </w:tc>
        <w:tc>
          <w:tcPr>
            <w:tcW w:w="2520" w:type="dxa"/>
            <w:tcBorders>
              <w:top w:val="nil"/>
              <w:left w:val="nil"/>
              <w:bottom w:val="single" w:sz="4" w:space="0" w:color="auto"/>
              <w:right w:val="single" w:sz="4" w:space="0" w:color="auto"/>
            </w:tcBorders>
            <w:shd w:val="clear" w:color="auto" w:fill="auto"/>
            <w:vAlign w:val="center"/>
            <w:hideMark/>
          </w:tcPr>
          <w:p w:rsidR="002259B2" w:rsidRDefault="002259B2">
            <w:pPr>
              <w:rPr>
                <w:rFonts w:ascii="Arial" w:hAnsi="Arial" w:cs="Arial"/>
                <w:b/>
                <w:bCs/>
                <w:sz w:val="20"/>
                <w:szCs w:val="20"/>
              </w:rPr>
            </w:pPr>
            <w:r>
              <w:rPr>
                <w:rFonts w:ascii="Arial" w:hAnsi="Arial" w:cs="Arial"/>
                <w:b/>
                <w:bCs/>
                <w:sz w:val="20"/>
                <w:szCs w:val="20"/>
              </w:rPr>
              <w:t>Total Revenue Requirement</w:t>
            </w:r>
          </w:p>
        </w:tc>
        <w:tc>
          <w:tcPr>
            <w:tcW w:w="1420" w:type="dxa"/>
            <w:tcBorders>
              <w:top w:val="nil"/>
              <w:left w:val="nil"/>
              <w:bottom w:val="single" w:sz="4" w:space="0" w:color="auto"/>
              <w:right w:val="single" w:sz="4" w:space="0" w:color="auto"/>
            </w:tcBorders>
            <w:shd w:val="clear" w:color="auto" w:fill="auto"/>
            <w:noWrap/>
            <w:vAlign w:val="center"/>
            <w:hideMark/>
          </w:tcPr>
          <w:p w:rsidR="002259B2" w:rsidRDefault="002259B2">
            <w:pPr>
              <w:jc w:val="right"/>
              <w:rPr>
                <w:rFonts w:ascii="Arial" w:hAnsi="Arial" w:cs="Arial"/>
                <w:b/>
                <w:bCs/>
                <w:sz w:val="20"/>
                <w:szCs w:val="20"/>
              </w:rPr>
            </w:pPr>
            <w:r>
              <w:rPr>
                <w:rFonts w:ascii="Arial" w:hAnsi="Arial" w:cs="Arial"/>
                <w:b/>
                <w:bCs/>
                <w:sz w:val="20"/>
                <w:szCs w:val="20"/>
              </w:rPr>
              <w:t>286044.72</w:t>
            </w:r>
          </w:p>
        </w:tc>
        <w:tc>
          <w:tcPr>
            <w:tcW w:w="1600" w:type="dxa"/>
            <w:tcBorders>
              <w:top w:val="nil"/>
              <w:left w:val="nil"/>
              <w:bottom w:val="single" w:sz="4" w:space="0" w:color="auto"/>
              <w:right w:val="single" w:sz="4" w:space="0" w:color="auto"/>
            </w:tcBorders>
            <w:shd w:val="clear" w:color="auto" w:fill="auto"/>
            <w:noWrap/>
            <w:vAlign w:val="center"/>
            <w:hideMark/>
          </w:tcPr>
          <w:p w:rsidR="002259B2" w:rsidRDefault="002259B2">
            <w:pPr>
              <w:rPr>
                <w:rFonts w:ascii="Arial" w:hAnsi="Arial" w:cs="Arial"/>
                <w:b/>
                <w:bCs/>
                <w:sz w:val="20"/>
                <w:szCs w:val="20"/>
              </w:rPr>
            </w:pPr>
            <w:r>
              <w:rPr>
                <w:rFonts w:ascii="Arial" w:hAnsi="Arial" w:cs="Arial"/>
                <w:b/>
                <w:bCs/>
                <w:sz w:val="20"/>
                <w:szCs w:val="20"/>
              </w:rPr>
              <w:t> </w:t>
            </w:r>
          </w:p>
        </w:tc>
        <w:tc>
          <w:tcPr>
            <w:tcW w:w="1580" w:type="dxa"/>
            <w:tcBorders>
              <w:top w:val="nil"/>
              <w:left w:val="nil"/>
              <w:bottom w:val="single" w:sz="4" w:space="0" w:color="auto"/>
              <w:right w:val="single" w:sz="4" w:space="0" w:color="auto"/>
            </w:tcBorders>
            <w:shd w:val="clear" w:color="auto" w:fill="auto"/>
            <w:noWrap/>
            <w:vAlign w:val="center"/>
            <w:hideMark/>
          </w:tcPr>
          <w:p w:rsidR="002259B2" w:rsidRDefault="002259B2">
            <w:pPr>
              <w:rPr>
                <w:rFonts w:ascii="Arial" w:hAnsi="Arial" w:cs="Arial"/>
                <w:b/>
                <w:bCs/>
                <w:sz w:val="20"/>
                <w:szCs w:val="20"/>
              </w:rPr>
            </w:pPr>
            <w:r>
              <w:rPr>
                <w:rFonts w:ascii="Arial" w:hAnsi="Arial" w:cs="Arial"/>
                <w:b/>
                <w:bCs/>
                <w:sz w:val="20"/>
                <w:szCs w:val="20"/>
              </w:rPr>
              <w:t> </w:t>
            </w:r>
          </w:p>
        </w:tc>
        <w:tc>
          <w:tcPr>
            <w:tcW w:w="1400" w:type="dxa"/>
            <w:tcBorders>
              <w:top w:val="nil"/>
              <w:left w:val="nil"/>
              <w:bottom w:val="single" w:sz="4" w:space="0" w:color="auto"/>
              <w:right w:val="single" w:sz="4" w:space="0" w:color="auto"/>
            </w:tcBorders>
            <w:shd w:val="clear" w:color="auto" w:fill="auto"/>
            <w:noWrap/>
            <w:vAlign w:val="center"/>
            <w:hideMark/>
          </w:tcPr>
          <w:p w:rsidR="002259B2" w:rsidRDefault="002259B2">
            <w:pPr>
              <w:jc w:val="right"/>
              <w:rPr>
                <w:rFonts w:ascii="Arial" w:hAnsi="Arial" w:cs="Arial"/>
                <w:b/>
                <w:bCs/>
                <w:sz w:val="20"/>
                <w:szCs w:val="20"/>
              </w:rPr>
            </w:pPr>
            <w:r>
              <w:rPr>
                <w:rFonts w:ascii="Arial" w:hAnsi="Arial" w:cs="Arial"/>
                <w:b/>
                <w:bCs/>
                <w:sz w:val="20"/>
                <w:szCs w:val="20"/>
              </w:rPr>
              <w:t>60255.65</w:t>
            </w:r>
          </w:p>
        </w:tc>
        <w:tc>
          <w:tcPr>
            <w:tcW w:w="1360" w:type="dxa"/>
            <w:tcBorders>
              <w:top w:val="nil"/>
              <w:left w:val="nil"/>
              <w:bottom w:val="single" w:sz="4" w:space="0" w:color="auto"/>
              <w:right w:val="single" w:sz="4" w:space="0" w:color="auto"/>
            </w:tcBorders>
            <w:shd w:val="clear" w:color="auto" w:fill="auto"/>
            <w:noWrap/>
            <w:vAlign w:val="center"/>
            <w:hideMark/>
          </w:tcPr>
          <w:p w:rsidR="002259B2" w:rsidRDefault="002259B2">
            <w:pPr>
              <w:jc w:val="right"/>
              <w:rPr>
                <w:rFonts w:ascii="Arial" w:hAnsi="Arial" w:cs="Arial"/>
                <w:b/>
                <w:bCs/>
                <w:sz w:val="20"/>
                <w:szCs w:val="20"/>
              </w:rPr>
            </w:pPr>
            <w:r>
              <w:rPr>
                <w:rFonts w:ascii="Arial" w:hAnsi="Arial" w:cs="Arial"/>
                <w:b/>
                <w:bCs/>
                <w:sz w:val="20"/>
                <w:szCs w:val="20"/>
              </w:rPr>
              <w:t>225789.07</w:t>
            </w:r>
          </w:p>
        </w:tc>
      </w:tr>
      <w:tr w:rsidR="002259B2" w:rsidTr="002259B2">
        <w:trPr>
          <w:trHeight w:val="570"/>
        </w:trPr>
        <w:tc>
          <w:tcPr>
            <w:tcW w:w="1052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2259B2" w:rsidRDefault="002259B2">
            <w:pPr>
              <w:rPr>
                <w:rFonts w:ascii="Arial" w:hAnsi="Arial" w:cs="Arial"/>
                <w:b/>
                <w:bCs/>
                <w:sz w:val="20"/>
                <w:szCs w:val="20"/>
              </w:rPr>
            </w:pPr>
            <w:r>
              <w:rPr>
                <w:rFonts w:ascii="Arial" w:hAnsi="Arial" w:cs="Arial"/>
                <w:b/>
                <w:bCs/>
                <w:sz w:val="20"/>
                <w:szCs w:val="20"/>
              </w:rPr>
              <w:t>* Allocation of power purchase cost towards wheeling has been made considering 8 % loss on input after effecting EHT Sales</w:t>
            </w:r>
          </w:p>
        </w:tc>
      </w:tr>
    </w:tbl>
    <w:p w:rsidR="009E0A9B" w:rsidRDefault="00184D82" w:rsidP="006935E2">
      <w:pPr>
        <w:pStyle w:val="Heading1"/>
        <w:numPr>
          <w:ilvl w:val="0"/>
          <w:numId w:val="9"/>
        </w:numPr>
        <w:spacing w:line="360" w:lineRule="auto"/>
        <w:jc w:val="both"/>
        <w:rPr>
          <w:rFonts w:ascii="Cambria" w:hAnsi="Cambria"/>
          <w:sz w:val="28"/>
          <w:szCs w:val="28"/>
        </w:rPr>
      </w:pPr>
      <w:bookmarkStart w:id="76" w:name="_Toc278737567"/>
      <w:bookmarkStart w:id="77" w:name="_Toc25850962"/>
      <w:bookmarkEnd w:id="76"/>
      <w:r w:rsidRPr="003D2AC4">
        <w:rPr>
          <w:rFonts w:ascii="Cambria" w:hAnsi="Cambria"/>
          <w:sz w:val="28"/>
          <w:szCs w:val="28"/>
        </w:rPr>
        <w:t xml:space="preserve">Tariff </w:t>
      </w:r>
      <w:r>
        <w:rPr>
          <w:rFonts w:ascii="Cambria" w:hAnsi="Cambria"/>
          <w:sz w:val="28"/>
          <w:szCs w:val="28"/>
        </w:rPr>
        <w:t xml:space="preserve">Proposals and </w:t>
      </w:r>
      <w:r w:rsidR="009E0A9B" w:rsidRPr="003D2AC4">
        <w:rPr>
          <w:rFonts w:ascii="Cambria" w:hAnsi="Cambria"/>
          <w:sz w:val="28"/>
          <w:szCs w:val="28"/>
        </w:rPr>
        <w:t>Rationalization Measures</w:t>
      </w:r>
      <w:bookmarkEnd w:id="77"/>
    </w:p>
    <w:p w:rsidR="004C29DC" w:rsidRPr="004C29DC" w:rsidRDefault="004C29DC" w:rsidP="004C29DC">
      <w:pPr>
        <w:pStyle w:val="ListParagraph"/>
        <w:spacing w:line="360" w:lineRule="auto"/>
        <w:ind w:left="420"/>
        <w:jc w:val="both"/>
        <w:rPr>
          <w:rFonts w:ascii="Cambria" w:hAnsi="Cambria"/>
          <w:sz w:val="24"/>
          <w:szCs w:val="24"/>
        </w:rPr>
      </w:pPr>
      <w:r w:rsidRPr="004C29DC">
        <w:rPr>
          <w:rFonts w:ascii="Cambria" w:hAnsi="Cambria"/>
          <w:sz w:val="24"/>
          <w:szCs w:val="24"/>
        </w:rPr>
        <w:t xml:space="preserve">Hon’ble commission in the RST order FY 2018-19 vide </w:t>
      </w:r>
      <w:r w:rsidRPr="004C29DC">
        <w:rPr>
          <w:rFonts w:ascii="Cambria" w:hAnsi="Cambria"/>
          <w:b/>
          <w:sz w:val="24"/>
          <w:szCs w:val="24"/>
        </w:rPr>
        <w:t>para 318</w:t>
      </w:r>
      <w:r w:rsidRPr="004C29DC">
        <w:rPr>
          <w:rFonts w:ascii="Cambria" w:hAnsi="Cambria"/>
          <w:sz w:val="24"/>
          <w:szCs w:val="24"/>
        </w:rPr>
        <w:t xml:space="preserve"> has made findings that distribution companies are making repeated submission for which Commission has already given its direction in different tariff order for their repeated submission. The observations are as under:-</w:t>
      </w:r>
    </w:p>
    <w:tbl>
      <w:tblPr>
        <w:tblStyle w:val="TableGrid"/>
        <w:tblW w:w="10057" w:type="dxa"/>
        <w:tblLook w:val="04A0"/>
      </w:tblPr>
      <w:tblGrid>
        <w:gridCol w:w="5147"/>
        <w:gridCol w:w="4910"/>
      </w:tblGrid>
      <w:tr w:rsidR="004C29DC" w:rsidRPr="004C29DC" w:rsidTr="00964629">
        <w:trPr>
          <w:trHeight w:val="267"/>
        </w:trPr>
        <w:tc>
          <w:tcPr>
            <w:tcW w:w="5147" w:type="dxa"/>
          </w:tcPr>
          <w:p w:rsidR="004C29DC" w:rsidRPr="004C29DC" w:rsidRDefault="004C29DC" w:rsidP="00964629">
            <w:pPr>
              <w:spacing w:line="240" w:lineRule="atLeast"/>
              <w:rPr>
                <w:rFonts w:ascii="Cambria" w:hAnsi="Cambria"/>
                <w:b/>
              </w:rPr>
            </w:pPr>
            <w:r w:rsidRPr="004C29DC">
              <w:rPr>
                <w:rFonts w:ascii="Cambria" w:hAnsi="Cambria"/>
                <w:b/>
              </w:rPr>
              <w:t>Issues</w:t>
            </w:r>
          </w:p>
        </w:tc>
        <w:tc>
          <w:tcPr>
            <w:tcW w:w="4910" w:type="dxa"/>
          </w:tcPr>
          <w:p w:rsidR="004C29DC" w:rsidRPr="004C29DC" w:rsidRDefault="004C29DC" w:rsidP="00964629">
            <w:pPr>
              <w:spacing w:line="240" w:lineRule="atLeast"/>
              <w:rPr>
                <w:rFonts w:ascii="Cambria" w:hAnsi="Cambria"/>
                <w:b/>
              </w:rPr>
            </w:pPr>
            <w:r w:rsidRPr="004C29DC">
              <w:rPr>
                <w:rFonts w:ascii="Cambria" w:hAnsi="Cambria"/>
                <w:b/>
              </w:rPr>
              <w:t>Commission’s Observation</w:t>
            </w:r>
          </w:p>
        </w:tc>
      </w:tr>
      <w:tr w:rsidR="004C29DC" w:rsidRPr="004C29DC" w:rsidTr="00964629">
        <w:trPr>
          <w:trHeight w:val="267"/>
        </w:trPr>
        <w:tc>
          <w:tcPr>
            <w:tcW w:w="5147" w:type="dxa"/>
          </w:tcPr>
          <w:p w:rsidR="004C29DC" w:rsidRPr="004C29DC" w:rsidRDefault="004C29DC" w:rsidP="00964629">
            <w:pPr>
              <w:spacing w:line="240" w:lineRule="atLeast"/>
              <w:rPr>
                <w:rFonts w:ascii="Cambria" w:hAnsi="Cambria"/>
              </w:rPr>
            </w:pPr>
            <w:r w:rsidRPr="004C29DC">
              <w:rPr>
                <w:rFonts w:ascii="Cambria" w:hAnsi="Cambria"/>
              </w:rPr>
              <w:t>Levy of Demand Charges on the basis of 80% of CD or MD whichever is higher to be changed to 85% of CD or MD whichever is higher</w:t>
            </w:r>
          </w:p>
        </w:tc>
        <w:tc>
          <w:tcPr>
            <w:tcW w:w="4910" w:type="dxa"/>
          </w:tcPr>
          <w:p w:rsidR="004C29DC" w:rsidRPr="004C29DC" w:rsidRDefault="004C29DC" w:rsidP="00964629">
            <w:pPr>
              <w:spacing w:line="240" w:lineRule="atLeast"/>
              <w:rPr>
                <w:rFonts w:ascii="Cambria" w:hAnsi="Cambria"/>
              </w:rPr>
            </w:pPr>
            <w:r w:rsidRPr="004C29DC">
              <w:rPr>
                <w:rFonts w:ascii="Cambria" w:hAnsi="Cambria"/>
              </w:rPr>
              <w:t>Para 276 for RST Order for FY 2017-18</w:t>
            </w:r>
          </w:p>
        </w:tc>
      </w:tr>
      <w:tr w:rsidR="004C29DC" w:rsidRPr="004C29DC" w:rsidTr="00964629">
        <w:trPr>
          <w:trHeight w:val="267"/>
        </w:trPr>
        <w:tc>
          <w:tcPr>
            <w:tcW w:w="5147" w:type="dxa"/>
          </w:tcPr>
          <w:p w:rsidR="004C29DC" w:rsidRPr="004C29DC" w:rsidRDefault="004C29DC" w:rsidP="00964629">
            <w:pPr>
              <w:spacing w:line="240" w:lineRule="atLeast"/>
              <w:rPr>
                <w:rFonts w:ascii="Cambria" w:hAnsi="Cambria"/>
              </w:rPr>
            </w:pPr>
            <w:r w:rsidRPr="004C29DC">
              <w:rPr>
                <w:rFonts w:ascii="Cambria" w:hAnsi="Cambria"/>
              </w:rPr>
              <w:t>Withdrawal of power factor incentives</w:t>
            </w:r>
          </w:p>
        </w:tc>
        <w:tc>
          <w:tcPr>
            <w:tcW w:w="4910" w:type="dxa"/>
          </w:tcPr>
          <w:p w:rsidR="004C29DC" w:rsidRPr="004C29DC" w:rsidRDefault="004C29DC" w:rsidP="00964629">
            <w:pPr>
              <w:spacing w:line="240" w:lineRule="atLeast"/>
              <w:rPr>
                <w:rFonts w:ascii="Cambria" w:hAnsi="Cambria"/>
              </w:rPr>
            </w:pPr>
            <w:r w:rsidRPr="004C29DC">
              <w:rPr>
                <w:rFonts w:ascii="Cambria" w:hAnsi="Cambria"/>
              </w:rPr>
              <w:t>Para 287 of RST Order 2017-18</w:t>
            </w:r>
          </w:p>
        </w:tc>
      </w:tr>
      <w:tr w:rsidR="004C29DC" w:rsidRPr="004C29DC" w:rsidTr="00964629">
        <w:trPr>
          <w:trHeight w:val="267"/>
        </w:trPr>
        <w:tc>
          <w:tcPr>
            <w:tcW w:w="5147" w:type="dxa"/>
          </w:tcPr>
          <w:p w:rsidR="004C29DC" w:rsidRPr="004C29DC" w:rsidRDefault="004C29DC" w:rsidP="00964629">
            <w:pPr>
              <w:spacing w:line="240" w:lineRule="atLeast"/>
              <w:rPr>
                <w:rFonts w:ascii="Cambria" w:hAnsi="Cambria"/>
              </w:rPr>
            </w:pPr>
            <w:r w:rsidRPr="004C29DC">
              <w:rPr>
                <w:rFonts w:ascii="Cambria" w:hAnsi="Cambria"/>
              </w:rPr>
              <w:t>Introduction of KVAH Billing</w:t>
            </w:r>
          </w:p>
        </w:tc>
        <w:tc>
          <w:tcPr>
            <w:tcW w:w="4910" w:type="dxa"/>
          </w:tcPr>
          <w:p w:rsidR="004C29DC" w:rsidRPr="004C29DC" w:rsidRDefault="004C29DC" w:rsidP="005150AF">
            <w:pPr>
              <w:spacing w:line="240" w:lineRule="atLeast"/>
              <w:rPr>
                <w:rFonts w:ascii="Cambria" w:hAnsi="Cambria"/>
              </w:rPr>
            </w:pPr>
            <w:r w:rsidRPr="004C29DC">
              <w:rPr>
                <w:rFonts w:ascii="Cambria" w:hAnsi="Cambria"/>
              </w:rPr>
              <w:t>Para 244 of RST order for FY 201</w:t>
            </w:r>
            <w:r w:rsidR="005150AF">
              <w:rPr>
                <w:rFonts w:ascii="Cambria" w:hAnsi="Cambria"/>
              </w:rPr>
              <w:t>6</w:t>
            </w:r>
            <w:r w:rsidRPr="004C29DC">
              <w:rPr>
                <w:rFonts w:ascii="Cambria" w:hAnsi="Cambria"/>
              </w:rPr>
              <w:t>-17 and in Para 304 &amp; 332 RST order for FY 2015-16</w:t>
            </w:r>
          </w:p>
        </w:tc>
      </w:tr>
      <w:tr w:rsidR="004C29DC" w:rsidRPr="004C29DC" w:rsidTr="00964629">
        <w:trPr>
          <w:trHeight w:val="267"/>
        </w:trPr>
        <w:tc>
          <w:tcPr>
            <w:tcW w:w="5147" w:type="dxa"/>
          </w:tcPr>
          <w:p w:rsidR="004C29DC" w:rsidRPr="004C29DC" w:rsidRDefault="004C29DC" w:rsidP="00964629">
            <w:pPr>
              <w:spacing w:line="240" w:lineRule="atLeast"/>
              <w:rPr>
                <w:rFonts w:ascii="Cambria" w:hAnsi="Cambria"/>
              </w:rPr>
            </w:pPr>
            <w:r w:rsidRPr="004C29DC">
              <w:rPr>
                <w:rFonts w:ascii="Cambria" w:hAnsi="Cambria"/>
              </w:rPr>
              <w:lastRenderedPageBreak/>
              <w:t>Power Factor Penalty for Three-phase Consumers having Contract Demand less than 110 KVA</w:t>
            </w:r>
          </w:p>
        </w:tc>
        <w:tc>
          <w:tcPr>
            <w:tcW w:w="4910" w:type="dxa"/>
          </w:tcPr>
          <w:p w:rsidR="004C29DC" w:rsidRPr="004C29DC" w:rsidRDefault="004C29DC" w:rsidP="00964629">
            <w:pPr>
              <w:spacing w:line="240" w:lineRule="atLeast"/>
              <w:rPr>
                <w:rFonts w:ascii="Cambria" w:hAnsi="Cambria"/>
              </w:rPr>
            </w:pPr>
            <w:r w:rsidRPr="004C29DC">
              <w:rPr>
                <w:rFonts w:ascii="Cambria" w:hAnsi="Cambria"/>
              </w:rPr>
              <w:t>Para 280 of RST order for FY 2017-18 and para 326 of the RST Order for FY 2015-16</w:t>
            </w:r>
          </w:p>
        </w:tc>
      </w:tr>
      <w:tr w:rsidR="004C29DC" w:rsidRPr="004C29DC" w:rsidTr="00964629">
        <w:trPr>
          <w:trHeight w:val="267"/>
        </w:trPr>
        <w:tc>
          <w:tcPr>
            <w:tcW w:w="5147" w:type="dxa"/>
          </w:tcPr>
          <w:p w:rsidR="004C29DC" w:rsidRPr="004C29DC" w:rsidRDefault="004C29DC" w:rsidP="00964629">
            <w:pPr>
              <w:spacing w:line="240" w:lineRule="atLeast"/>
              <w:rPr>
                <w:rFonts w:ascii="Cambria" w:hAnsi="Cambria"/>
              </w:rPr>
            </w:pPr>
            <w:r w:rsidRPr="004C29DC">
              <w:rPr>
                <w:rFonts w:ascii="Cambria" w:hAnsi="Cambria"/>
              </w:rPr>
              <w:t>MMFC/Demand charges to be in KVA only instead of KVA/KW</w:t>
            </w:r>
          </w:p>
        </w:tc>
        <w:tc>
          <w:tcPr>
            <w:tcW w:w="4910" w:type="dxa"/>
          </w:tcPr>
          <w:p w:rsidR="004C29DC" w:rsidRPr="004C29DC" w:rsidRDefault="004C29DC" w:rsidP="00964629">
            <w:pPr>
              <w:spacing w:line="240" w:lineRule="atLeast"/>
              <w:rPr>
                <w:rFonts w:ascii="Cambria" w:hAnsi="Cambria"/>
              </w:rPr>
            </w:pPr>
            <w:r w:rsidRPr="004C29DC">
              <w:rPr>
                <w:rFonts w:ascii="Cambria" w:hAnsi="Cambria"/>
              </w:rPr>
              <w:t>Para 308 of RST order for FY 2017-18</w:t>
            </w:r>
          </w:p>
        </w:tc>
      </w:tr>
      <w:tr w:rsidR="004C29DC" w:rsidRPr="004C29DC" w:rsidTr="00964629">
        <w:trPr>
          <w:trHeight w:val="267"/>
        </w:trPr>
        <w:tc>
          <w:tcPr>
            <w:tcW w:w="5147" w:type="dxa"/>
          </w:tcPr>
          <w:p w:rsidR="004C29DC" w:rsidRPr="004C29DC" w:rsidRDefault="004C29DC" w:rsidP="00964629">
            <w:pPr>
              <w:spacing w:line="240" w:lineRule="atLeast"/>
              <w:rPr>
                <w:rFonts w:ascii="Cambria" w:hAnsi="Cambria"/>
              </w:rPr>
            </w:pPr>
            <w:r w:rsidRPr="004C29DC">
              <w:rPr>
                <w:rFonts w:ascii="Cambria" w:hAnsi="Cambria"/>
              </w:rPr>
              <w:t>Continuation of bi-monthly billing</w:t>
            </w:r>
          </w:p>
        </w:tc>
        <w:tc>
          <w:tcPr>
            <w:tcW w:w="4910" w:type="dxa"/>
          </w:tcPr>
          <w:p w:rsidR="004C29DC" w:rsidRPr="004C29DC" w:rsidRDefault="004C29DC" w:rsidP="00964629">
            <w:pPr>
              <w:spacing w:line="240" w:lineRule="atLeast"/>
              <w:rPr>
                <w:rFonts w:ascii="Cambria" w:hAnsi="Cambria"/>
              </w:rPr>
            </w:pPr>
            <w:r w:rsidRPr="004C29DC">
              <w:rPr>
                <w:rFonts w:ascii="Cambria" w:hAnsi="Cambria"/>
              </w:rPr>
              <w:t>Para 297 of RST order for FY 2017-18</w:t>
            </w:r>
          </w:p>
        </w:tc>
      </w:tr>
      <w:tr w:rsidR="004C29DC" w:rsidRPr="004C29DC" w:rsidTr="00964629">
        <w:trPr>
          <w:trHeight w:val="267"/>
        </w:trPr>
        <w:tc>
          <w:tcPr>
            <w:tcW w:w="5147" w:type="dxa"/>
          </w:tcPr>
          <w:p w:rsidR="004C29DC" w:rsidRPr="004C29DC" w:rsidRDefault="004C29DC" w:rsidP="00964629">
            <w:pPr>
              <w:spacing w:line="240" w:lineRule="atLeast"/>
              <w:rPr>
                <w:rFonts w:ascii="Cambria" w:hAnsi="Cambria"/>
              </w:rPr>
            </w:pPr>
            <w:r w:rsidRPr="004C29DC">
              <w:rPr>
                <w:rFonts w:ascii="Cambria" w:hAnsi="Cambria"/>
              </w:rPr>
              <w:t>Introduction of Amnesty Arrear Clearance Scheme for LT Non Industrial category of consumers</w:t>
            </w:r>
          </w:p>
        </w:tc>
        <w:tc>
          <w:tcPr>
            <w:tcW w:w="4910" w:type="dxa"/>
          </w:tcPr>
          <w:p w:rsidR="004C29DC" w:rsidRPr="004C29DC" w:rsidRDefault="004C29DC" w:rsidP="00964629">
            <w:pPr>
              <w:spacing w:line="240" w:lineRule="atLeast"/>
              <w:rPr>
                <w:rFonts w:ascii="Cambria" w:hAnsi="Cambria"/>
              </w:rPr>
            </w:pPr>
            <w:r w:rsidRPr="004C29DC">
              <w:rPr>
                <w:rFonts w:ascii="Cambria" w:hAnsi="Cambria"/>
              </w:rPr>
              <w:t>Para 285 of RST order for FY 2017-18</w:t>
            </w:r>
          </w:p>
        </w:tc>
      </w:tr>
      <w:tr w:rsidR="004C29DC" w:rsidRPr="004C29DC" w:rsidTr="00964629">
        <w:trPr>
          <w:trHeight w:val="267"/>
        </w:trPr>
        <w:tc>
          <w:tcPr>
            <w:tcW w:w="5147" w:type="dxa"/>
          </w:tcPr>
          <w:p w:rsidR="004C29DC" w:rsidRPr="004C29DC" w:rsidRDefault="004C29DC" w:rsidP="00964629">
            <w:pPr>
              <w:spacing w:line="240" w:lineRule="atLeast"/>
              <w:rPr>
                <w:rFonts w:ascii="Cambria" w:hAnsi="Cambria"/>
              </w:rPr>
            </w:pPr>
            <w:r w:rsidRPr="004C29DC">
              <w:rPr>
                <w:rFonts w:ascii="Cambria" w:hAnsi="Cambria"/>
              </w:rPr>
              <w:t>Load factor Billing to Irrigation and Agriculture Category of Consumers</w:t>
            </w:r>
          </w:p>
        </w:tc>
        <w:tc>
          <w:tcPr>
            <w:tcW w:w="4910" w:type="dxa"/>
          </w:tcPr>
          <w:p w:rsidR="004C29DC" w:rsidRPr="004C29DC" w:rsidRDefault="004C29DC" w:rsidP="00964629">
            <w:pPr>
              <w:spacing w:line="240" w:lineRule="atLeast"/>
              <w:rPr>
                <w:rFonts w:ascii="Cambria" w:hAnsi="Cambria"/>
              </w:rPr>
            </w:pPr>
            <w:r w:rsidRPr="004C29DC">
              <w:rPr>
                <w:rFonts w:ascii="Cambria" w:hAnsi="Cambria"/>
              </w:rPr>
              <w:t>Para 244 of RST order for FY 2016-17 and para 332 of RST order for FY 2015-16</w:t>
            </w:r>
          </w:p>
        </w:tc>
      </w:tr>
      <w:tr w:rsidR="004C29DC" w:rsidRPr="004C29DC" w:rsidTr="00964629">
        <w:trPr>
          <w:trHeight w:val="586"/>
        </w:trPr>
        <w:tc>
          <w:tcPr>
            <w:tcW w:w="5147" w:type="dxa"/>
          </w:tcPr>
          <w:p w:rsidR="004C29DC" w:rsidRPr="004C29DC" w:rsidRDefault="004C29DC" w:rsidP="00964629">
            <w:pPr>
              <w:spacing w:line="240" w:lineRule="atLeast"/>
              <w:rPr>
                <w:rFonts w:ascii="Cambria" w:hAnsi="Cambria"/>
              </w:rPr>
            </w:pPr>
            <w:r w:rsidRPr="004C29DC">
              <w:rPr>
                <w:rFonts w:ascii="Cambria" w:hAnsi="Cambria"/>
              </w:rPr>
              <w:t xml:space="preserve">Acceptance of Bank Guarantee in lieu of security deposit in cash </w:t>
            </w:r>
          </w:p>
        </w:tc>
        <w:tc>
          <w:tcPr>
            <w:tcW w:w="4910" w:type="dxa"/>
          </w:tcPr>
          <w:p w:rsidR="004C29DC" w:rsidRPr="004C29DC" w:rsidRDefault="004C29DC" w:rsidP="00964629">
            <w:pPr>
              <w:spacing w:line="240" w:lineRule="atLeast"/>
              <w:rPr>
                <w:rFonts w:ascii="Cambria" w:hAnsi="Cambria"/>
              </w:rPr>
            </w:pPr>
            <w:r w:rsidRPr="004C29DC">
              <w:rPr>
                <w:rFonts w:ascii="Cambria" w:hAnsi="Cambria"/>
              </w:rPr>
              <w:t>Para 282 of RST order for FY 2017-18 and para 326 of RST Order for FY 2010-11</w:t>
            </w:r>
          </w:p>
        </w:tc>
      </w:tr>
      <w:tr w:rsidR="004C29DC" w:rsidRPr="004C29DC" w:rsidTr="00964629">
        <w:trPr>
          <w:trHeight w:val="847"/>
        </w:trPr>
        <w:tc>
          <w:tcPr>
            <w:tcW w:w="5147" w:type="dxa"/>
          </w:tcPr>
          <w:p w:rsidR="004C29DC" w:rsidRPr="004C29DC" w:rsidRDefault="004C29DC" w:rsidP="00964629">
            <w:pPr>
              <w:spacing w:line="240" w:lineRule="atLeast"/>
              <w:rPr>
                <w:rFonts w:ascii="Cambria" w:hAnsi="Cambria"/>
              </w:rPr>
            </w:pPr>
            <w:r w:rsidRPr="004C29DC">
              <w:rPr>
                <w:rFonts w:ascii="Cambria" w:hAnsi="Cambria"/>
              </w:rPr>
              <w:t>Overdrawl by Existing HT/EHT Category Consumers (Penalty both on demand and energy)</w:t>
            </w:r>
          </w:p>
        </w:tc>
        <w:tc>
          <w:tcPr>
            <w:tcW w:w="4910" w:type="dxa"/>
          </w:tcPr>
          <w:p w:rsidR="004C29DC" w:rsidRPr="004C29DC" w:rsidRDefault="004C29DC" w:rsidP="00964629">
            <w:pPr>
              <w:spacing w:line="240" w:lineRule="atLeast"/>
              <w:rPr>
                <w:rFonts w:ascii="Cambria" w:hAnsi="Cambria"/>
              </w:rPr>
            </w:pPr>
            <w:r w:rsidRPr="004C29DC">
              <w:rPr>
                <w:rFonts w:ascii="Cambria" w:hAnsi="Cambria"/>
              </w:rPr>
              <w:t>Para 238 of RST order for FY 2016-17</w:t>
            </w:r>
          </w:p>
        </w:tc>
      </w:tr>
    </w:tbl>
    <w:p w:rsidR="004C29DC" w:rsidRPr="004C29DC" w:rsidRDefault="004C29DC" w:rsidP="004C29DC">
      <w:pPr>
        <w:pStyle w:val="ListParagraph"/>
        <w:ind w:left="420"/>
        <w:rPr>
          <w:sz w:val="24"/>
          <w:szCs w:val="24"/>
        </w:rPr>
      </w:pPr>
    </w:p>
    <w:p w:rsidR="004C29DC" w:rsidRPr="004C29DC" w:rsidRDefault="004C29DC" w:rsidP="004C29DC">
      <w:pPr>
        <w:pStyle w:val="ListParagraph"/>
        <w:spacing w:line="360" w:lineRule="auto"/>
        <w:ind w:left="420"/>
        <w:jc w:val="both"/>
        <w:rPr>
          <w:rFonts w:ascii="Cambria" w:hAnsi="Cambria" w:cs="Arial"/>
          <w:sz w:val="24"/>
          <w:szCs w:val="24"/>
        </w:rPr>
      </w:pPr>
      <w:r w:rsidRPr="004C29DC">
        <w:rPr>
          <w:rFonts w:ascii="Cambria" w:hAnsi="Cambria" w:cs="Arial"/>
          <w:sz w:val="24"/>
          <w:szCs w:val="24"/>
        </w:rPr>
        <w:t>In view of the above it is humbly submitted that the submissions are being made by the utilities as it has lot of implication towards revenue as well as it is creating lot of disparities among consumer category. Therefore, submission for the ensuing year has also been made for specific cases where it is required to be addressed.</w:t>
      </w:r>
    </w:p>
    <w:p w:rsidR="004C29DC" w:rsidRPr="004C29DC" w:rsidRDefault="004C29DC" w:rsidP="004C29DC">
      <w:pPr>
        <w:pStyle w:val="ListParagraph"/>
        <w:spacing w:line="360" w:lineRule="auto"/>
        <w:ind w:left="420"/>
        <w:jc w:val="both"/>
        <w:rPr>
          <w:rFonts w:asciiTheme="majorHAnsi" w:hAnsiTheme="majorHAnsi" w:cs="Arial"/>
          <w:sz w:val="24"/>
          <w:szCs w:val="24"/>
        </w:rPr>
      </w:pPr>
      <w:r w:rsidRPr="004C29DC">
        <w:rPr>
          <w:rFonts w:asciiTheme="majorHAnsi" w:hAnsiTheme="majorHAnsi" w:cs="Arial"/>
          <w:sz w:val="24"/>
          <w:szCs w:val="24"/>
        </w:rPr>
        <w:t>For example the utilities are submitting before Hon’ble commission for introduction of KVAh billing since long as it has been already adopted by most of the states. The licensees are in view that till such time urging for applicability of power factor penalty and power factor incentive for certain category of consumers where disparity still continues which needs to be addressed. Previously Hon’ble Commission has also observed and asked for data regarding preparedness of the utilities for implementation of kvah billing for which DISCOMs have already supplemented with data. As of now all consumers having static meters where kvah reading is available. So taking meter reading will not be an issue. For all purposes utilities are collecting kvah meter reading also. So, it is once again submitted for implementation of KVAh billing for which appropriate logic has been given in subsequent section.</w:t>
      </w:r>
    </w:p>
    <w:p w:rsidR="004C29DC" w:rsidRPr="004C29DC" w:rsidRDefault="004C29DC" w:rsidP="004C29DC">
      <w:pPr>
        <w:pStyle w:val="ListParagraph"/>
        <w:spacing w:line="360" w:lineRule="auto"/>
        <w:ind w:left="420"/>
        <w:jc w:val="both"/>
        <w:rPr>
          <w:rFonts w:asciiTheme="majorHAnsi" w:hAnsiTheme="majorHAnsi" w:cs="Arial"/>
          <w:sz w:val="24"/>
          <w:szCs w:val="24"/>
        </w:rPr>
      </w:pPr>
      <w:r w:rsidRPr="004C29DC">
        <w:rPr>
          <w:rFonts w:asciiTheme="majorHAnsi" w:hAnsiTheme="majorHAnsi" w:cs="Arial"/>
          <w:sz w:val="24"/>
          <w:szCs w:val="24"/>
        </w:rPr>
        <w:t>Similarly for levy of Demand charges and MMFC charges in KVa or in Kw for the consumers as the case may be has certain disparity for which re-submission has been made which may kindly be re-considered.</w:t>
      </w:r>
    </w:p>
    <w:p w:rsidR="00FE10DB" w:rsidRPr="00FE10DB" w:rsidRDefault="00FE10DB" w:rsidP="006935E2">
      <w:pPr>
        <w:pStyle w:val="Heading1"/>
        <w:numPr>
          <w:ilvl w:val="1"/>
          <w:numId w:val="13"/>
        </w:numPr>
        <w:spacing w:line="360" w:lineRule="auto"/>
        <w:jc w:val="both"/>
        <w:rPr>
          <w:rFonts w:ascii="Cambria" w:hAnsi="Cambria"/>
          <w:sz w:val="24"/>
          <w:szCs w:val="24"/>
        </w:rPr>
      </w:pPr>
      <w:bookmarkStart w:id="78" w:name="_Toc25850963"/>
      <w:r w:rsidRPr="00FE10DB">
        <w:rPr>
          <w:rFonts w:ascii="Cambria" w:hAnsi="Cambria"/>
          <w:sz w:val="24"/>
          <w:szCs w:val="24"/>
        </w:rPr>
        <w:lastRenderedPageBreak/>
        <w:t>Withdrawal of Power Factor incentive.</w:t>
      </w:r>
      <w:bookmarkEnd w:id="78"/>
    </w:p>
    <w:p w:rsidR="00FE10DB" w:rsidRDefault="00FE10DB" w:rsidP="0002196E">
      <w:pPr>
        <w:spacing w:line="360" w:lineRule="auto"/>
        <w:jc w:val="both"/>
        <w:rPr>
          <w:rFonts w:asciiTheme="majorHAnsi" w:hAnsiTheme="majorHAnsi" w:cs="Arial"/>
        </w:rPr>
      </w:pPr>
      <w:r>
        <w:rPr>
          <w:rFonts w:asciiTheme="majorHAnsi" w:hAnsiTheme="majorHAnsi" w:cs="Arial"/>
        </w:rPr>
        <w:t>Presently power factor incentive is being extended to HT and EHT category of consumers those who are maint</w:t>
      </w:r>
      <w:r w:rsidR="00DA311D">
        <w:rPr>
          <w:rFonts w:asciiTheme="majorHAnsi" w:hAnsiTheme="majorHAnsi" w:cs="Arial"/>
        </w:rPr>
        <w:t xml:space="preserve">aining </w:t>
      </w:r>
      <w:r>
        <w:rPr>
          <w:rFonts w:asciiTheme="majorHAnsi" w:hAnsiTheme="majorHAnsi" w:cs="Arial"/>
        </w:rPr>
        <w:t>PF of 97% and above. It is observed and admi</w:t>
      </w:r>
      <w:r w:rsidR="00DA311D">
        <w:rPr>
          <w:rFonts w:asciiTheme="majorHAnsi" w:hAnsiTheme="majorHAnsi" w:cs="Arial"/>
        </w:rPr>
        <w:t>t</w:t>
      </w:r>
      <w:r>
        <w:rPr>
          <w:rFonts w:asciiTheme="majorHAnsi" w:hAnsiTheme="majorHAnsi" w:cs="Arial"/>
        </w:rPr>
        <w:t xml:space="preserve">ted fact that the consumers are double benefited with such incentive. </w:t>
      </w:r>
      <w:r w:rsidR="00DA311D">
        <w:rPr>
          <w:rFonts w:asciiTheme="majorHAnsi" w:hAnsiTheme="majorHAnsi" w:cs="Arial"/>
        </w:rPr>
        <w:t>Primarily</w:t>
      </w:r>
      <w:r>
        <w:rPr>
          <w:rFonts w:asciiTheme="majorHAnsi" w:hAnsiTheme="majorHAnsi" w:cs="Arial"/>
        </w:rPr>
        <w:t xml:space="preserve"> when </w:t>
      </w:r>
      <w:r w:rsidR="005201D8">
        <w:rPr>
          <w:rFonts w:asciiTheme="majorHAnsi" w:hAnsiTheme="majorHAnsi" w:cs="Arial"/>
        </w:rPr>
        <w:t>requisite</w:t>
      </w:r>
      <w:r>
        <w:rPr>
          <w:rFonts w:asciiTheme="majorHAnsi" w:hAnsiTheme="majorHAnsi" w:cs="Arial"/>
        </w:rPr>
        <w:t xml:space="preserve"> PF </w:t>
      </w:r>
      <w:r w:rsidR="00DA311D">
        <w:rPr>
          <w:rFonts w:asciiTheme="majorHAnsi" w:hAnsiTheme="majorHAnsi" w:cs="Arial"/>
        </w:rPr>
        <w:t xml:space="preserve">of </w:t>
      </w:r>
      <w:r>
        <w:rPr>
          <w:rFonts w:asciiTheme="majorHAnsi" w:hAnsiTheme="majorHAnsi" w:cs="Arial"/>
        </w:rPr>
        <w:t>92% is being maintained they are avoiding PF penalty, so avoidance of PF penalty is a direct saving to the consumers.</w:t>
      </w:r>
      <w:r w:rsidR="00DA311D">
        <w:rPr>
          <w:rFonts w:asciiTheme="majorHAnsi" w:hAnsiTheme="majorHAnsi" w:cs="Arial"/>
        </w:rPr>
        <w:t xml:space="preserve"> When incentives are extended it is a bonus in addition to savings due to avoidance of PF penalty. It is submitted that now days all the machineries used by the industries are certified by BIS or ISO, similarly pumps are designed as energy efficient and motors are copper </w:t>
      </w:r>
      <w:r w:rsidR="00643594">
        <w:rPr>
          <w:rFonts w:asciiTheme="majorHAnsi" w:hAnsiTheme="majorHAnsi" w:cs="Arial"/>
        </w:rPr>
        <w:t>banded</w:t>
      </w:r>
      <w:r w:rsidR="00DA311D">
        <w:rPr>
          <w:rFonts w:asciiTheme="majorHAnsi" w:hAnsiTheme="majorHAnsi" w:cs="Arial"/>
        </w:rPr>
        <w:t xml:space="preserve">. So use of such star rated energy efficient equipments along with capacitor banks are </w:t>
      </w:r>
      <w:r w:rsidR="004E4687">
        <w:rPr>
          <w:rFonts w:asciiTheme="majorHAnsi" w:hAnsiTheme="majorHAnsi" w:cs="Arial"/>
        </w:rPr>
        <w:t xml:space="preserve">the contributor for achievement of higher power factor. Gone are the days when such equipments were not available Hon’ble Commission was encouraging for installation of capacitor bank for which to facilitate them PF incentive was introduced. </w:t>
      </w:r>
      <w:r w:rsidR="00DA311D">
        <w:rPr>
          <w:rFonts w:asciiTheme="majorHAnsi" w:hAnsiTheme="majorHAnsi" w:cs="Arial"/>
        </w:rPr>
        <w:t xml:space="preserve">  </w:t>
      </w:r>
      <w:r w:rsidR="004E4687">
        <w:rPr>
          <w:rFonts w:asciiTheme="majorHAnsi" w:hAnsiTheme="majorHAnsi" w:cs="Arial"/>
        </w:rPr>
        <w:t>Now with the present scenario continuance of PF incentive is no more required which may kindly be abolished.</w:t>
      </w:r>
    </w:p>
    <w:p w:rsidR="00350338" w:rsidRDefault="00350338" w:rsidP="006935E2">
      <w:pPr>
        <w:pStyle w:val="Heading1"/>
        <w:numPr>
          <w:ilvl w:val="1"/>
          <w:numId w:val="13"/>
        </w:numPr>
        <w:spacing w:line="360" w:lineRule="auto"/>
        <w:jc w:val="both"/>
        <w:rPr>
          <w:rFonts w:ascii="Cambria" w:hAnsi="Cambria"/>
          <w:sz w:val="24"/>
          <w:szCs w:val="24"/>
        </w:rPr>
      </w:pPr>
      <w:bookmarkStart w:id="79" w:name="_Toc25850964"/>
      <w:r w:rsidRPr="00B35DBA">
        <w:rPr>
          <w:rFonts w:ascii="Cambria" w:hAnsi="Cambria"/>
          <w:sz w:val="24"/>
          <w:szCs w:val="24"/>
        </w:rPr>
        <w:t xml:space="preserve">Demand charges to </w:t>
      </w:r>
      <w:r w:rsidR="0059163F">
        <w:rPr>
          <w:rFonts w:ascii="Cambria" w:hAnsi="Cambria"/>
          <w:sz w:val="24"/>
          <w:szCs w:val="24"/>
        </w:rPr>
        <w:t>HT M</w:t>
      </w:r>
      <w:r w:rsidRPr="00B35DBA">
        <w:rPr>
          <w:rFonts w:ascii="Cambria" w:hAnsi="Cambria"/>
          <w:sz w:val="24"/>
          <w:szCs w:val="24"/>
        </w:rPr>
        <w:t>edium category of consumers</w:t>
      </w:r>
      <w:bookmarkEnd w:id="79"/>
    </w:p>
    <w:p w:rsidR="00B35DBA" w:rsidRDefault="00B35DBA" w:rsidP="00406E3E">
      <w:pPr>
        <w:spacing w:line="360" w:lineRule="auto"/>
        <w:jc w:val="both"/>
        <w:rPr>
          <w:rFonts w:asciiTheme="majorHAnsi" w:hAnsiTheme="majorHAnsi" w:cs="Arial"/>
        </w:rPr>
      </w:pPr>
      <w:r w:rsidRPr="00406E3E">
        <w:rPr>
          <w:rFonts w:asciiTheme="majorHAnsi" w:hAnsiTheme="majorHAnsi" w:cs="Arial"/>
        </w:rPr>
        <w:t xml:space="preserve">Medium </w:t>
      </w:r>
      <w:r w:rsidR="00406E3E" w:rsidRPr="00406E3E">
        <w:rPr>
          <w:rFonts w:asciiTheme="majorHAnsi" w:hAnsiTheme="majorHAnsi" w:cs="Arial"/>
        </w:rPr>
        <w:t>categories</w:t>
      </w:r>
      <w:r w:rsidRPr="00406E3E">
        <w:rPr>
          <w:rFonts w:asciiTheme="majorHAnsi" w:hAnsiTheme="majorHAnsi" w:cs="Arial"/>
        </w:rPr>
        <w:t xml:space="preserve"> of consumers </w:t>
      </w:r>
      <w:r w:rsidR="0059163F" w:rsidRPr="00406E3E">
        <w:rPr>
          <w:rFonts w:asciiTheme="majorHAnsi" w:hAnsiTheme="majorHAnsi" w:cs="Arial"/>
        </w:rPr>
        <w:t xml:space="preserve">who </w:t>
      </w:r>
      <w:r w:rsidRPr="00406E3E">
        <w:rPr>
          <w:rFonts w:asciiTheme="majorHAnsi" w:hAnsiTheme="majorHAnsi" w:cs="Arial"/>
        </w:rPr>
        <w:t xml:space="preserve">are </w:t>
      </w:r>
      <w:r w:rsidR="00406E3E" w:rsidRPr="00406E3E">
        <w:rPr>
          <w:rFonts w:asciiTheme="majorHAnsi" w:hAnsiTheme="majorHAnsi" w:cs="Arial"/>
        </w:rPr>
        <w:t>ava</w:t>
      </w:r>
      <w:r w:rsidR="0059163F" w:rsidRPr="00406E3E">
        <w:rPr>
          <w:rFonts w:asciiTheme="majorHAnsi" w:hAnsiTheme="majorHAnsi" w:cs="Arial"/>
        </w:rPr>
        <w:t xml:space="preserve">iling power supply under HT </w:t>
      </w:r>
      <w:r w:rsidRPr="00406E3E">
        <w:rPr>
          <w:rFonts w:asciiTheme="majorHAnsi" w:hAnsiTheme="majorHAnsi" w:cs="Arial"/>
        </w:rPr>
        <w:t>c</w:t>
      </w:r>
      <w:r w:rsidR="00406E3E">
        <w:rPr>
          <w:rFonts w:asciiTheme="majorHAnsi" w:hAnsiTheme="majorHAnsi" w:cs="Arial"/>
        </w:rPr>
        <w:t xml:space="preserve">ategory are being facilitated with comfort of demand charges @ Rs.150 per Kva p.m. However, General purpose category with load of &gt;70 Kva &amp; &lt;110 Kva </w:t>
      </w:r>
      <w:r w:rsidR="00A845C5">
        <w:rPr>
          <w:rFonts w:asciiTheme="majorHAnsi" w:hAnsiTheme="majorHAnsi" w:cs="Arial"/>
        </w:rPr>
        <w:t xml:space="preserve">and Specified Public Purpose category </w:t>
      </w:r>
      <w:r w:rsidR="00406E3E">
        <w:rPr>
          <w:rFonts w:asciiTheme="majorHAnsi" w:hAnsiTheme="majorHAnsi" w:cs="Arial"/>
        </w:rPr>
        <w:t>are paying demand charges @ Rs.250 per Kva p.m.</w:t>
      </w:r>
      <w:r w:rsidR="00A845C5">
        <w:rPr>
          <w:rFonts w:asciiTheme="majorHAnsi" w:hAnsiTheme="majorHAnsi" w:cs="Arial"/>
        </w:rPr>
        <w:t xml:space="preserve"> This is discrimination among consumers availing power supply under HT category and also providing scope to become Medium industry to avail such benefit. </w:t>
      </w:r>
      <w:r w:rsidRPr="00406E3E">
        <w:rPr>
          <w:rFonts w:asciiTheme="majorHAnsi" w:hAnsiTheme="majorHAnsi" w:cs="Arial"/>
        </w:rPr>
        <w:t>With such wide GAP between Demand charges</w:t>
      </w:r>
      <w:r w:rsidR="009D2666">
        <w:rPr>
          <w:rFonts w:asciiTheme="majorHAnsi" w:hAnsiTheme="majorHAnsi" w:cs="Arial"/>
        </w:rPr>
        <w:t>,</w:t>
      </w:r>
      <w:r w:rsidRPr="00406E3E">
        <w:rPr>
          <w:rFonts w:asciiTheme="majorHAnsi" w:hAnsiTheme="majorHAnsi" w:cs="Arial"/>
        </w:rPr>
        <w:t xml:space="preserve"> consumers under </w:t>
      </w:r>
      <w:r w:rsidR="00A845C5">
        <w:rPr>
          <w:rFonts w:asciiTheme="majorHAnsi" w:hAnsiTheme="majorHAnsi" w:cs="Arial"/>
        </w:rPr>
        <w:t xml:space="preserve">HT </w:t>
      </w:r>
      <w:r w:rsidRPr="00406E3E">
        <w:rPr>
          <w:rFonts w:asciiTheme="majorHAnsi" w:hAnsiTheme="majorHAnsi" w:cs="Arial"/>
        </w:rPr>
        <w:t xml:space="preserve">medium category just below 110Kva are always trying to avail demand benefit </w:t>
      </w:r>
      <w:r w:rsidR="0059163F" w:rsidRPr="00406E3E">
        <w:rPr>
          <w:rFonts w:asciiTheme="majorHAnsi" w:hAnsiTheme="majorHAnsi" w:cs="Arial"/>
        </w:rPr>
        <w:t xml:space="preserve">even though their actual connected load is more than 110Kva and above. To curb such type of disparity in demand charges the licensee submit before Hon’ble Commission to fix demand charges for </w:t>
      </w:r>
      <w:r w:rsidR="00A845C5">
        <w:rPr>
          <w:rFonts w:asciiTheme="majorHAnsi" w:hAnsiTheme="majorHAnsi" w:cs="Arial"/>
        </w:rPr>
        <w:t xml:space="preserve">HT </w:t>
      </w:r>
      <w:r w:rsidR="0059163F" w:rsidRPr="00406E3E">
        <w:rPr>
          <w:rFonts w:asciiTheme="majorHAnsi" w:hAnsiTheme="majorHAnsi" w:cs="Arial"/>
        </w:rPr>
        <w:t>Medium category of consumers @ Rs.250 per Kva p.m. Previously Hon’ble Comm</w:t>
      </w:r>
      <w:r w:rsidR="00A845C5">
        <w:rPr>
          <w:rFonts w:asciiTheme="majorHAnsi" w:hAnsiTheme="majorHAnsi" w:cs="Arial"/>
        </w:rPr>
        <w:t>i</w:t>
      </w:r>
      <w:r w:rsidR="0059163F" w:rsidRPr="00406E3E">
        <w:rPr>
          <w:rFonts w:asciiTheme="majorHAnsi" w:hAnsiTheme="majorHAnsi" w:cs="Arial"/>
        </w:rPr>
        <w:t xml:space="preserve">ssion has also fixed demand charges </w:t>
      </w:r>
      <w:r w:rsidR="00A845C5">
        <w:rPr>
          <w:rFonts w:asciiTheme="majorHAnsi" w:hAnsiTheme="majorHAnsi" w:cs="Arial"/>
        </w:rPr>
        <w:t xml:space="preserve">@ Rs.250 per Kva p.m. for HT category of consumers </w:t>
      </w:r>
      <w:r w:rsidR="0059163F" w:rsidRPr="00406E3E">
        <w:rPr>
          <w:rFonts w:asciiTheme="majorHAnsi" w:hAnsiTheme="majorHAnsi" w:cs="Arial"/>
        </w:rPr>
        <w:t>equivalent with large industry during FY 2012-13.</w:t>
      </w:r>
      <w:r w:rsidRPr="00406E3E">
        <w:rPr>
          <w:rFonts w:asciiTheme="majorHAnsi" w:hAnsiTheme="majorHAnsi" w:cs="Arial"/>
        </w:rPr>
        <w:t xml:space="preserve"> </w:t>
      </w:r>
      <w:r w:rsidR="00711DA7">
        <w:rPr>
          <w:rFonts w:asciiTheme="majorHAnsi" w:hAnsiTheme="majorHAnsi" w:cs="Arial"/>
        </w:rPr>
        <w:t>In addition to above, to avail HT supply with connected load or contract demand &lt;110 Kva installation of transformer capacity may be limited to 100Kva only. Consumers, having transformer of more than 100Kva and billed under &lt;110Kva should be brought into large category of consumers immediately. Necessary suitable direction may kindly be given in this regard.</w:t>
      </w:r>
    </w:p>
    <w:p w:rsidR="00C27D09" w:rsidRDefault="00C27D09" w:rsidP="006935E2">
      <w:pPr>
        <w:pStyle w:val="Heading1"/>
        <w:numPr>
          <w:ilvl w:val="1"/>
          <w:numId w:val="13"/>
        </w:numPr>
        <w:spacing w:line="360" w:lineRule="auto"/>
        <w:jc w:val="both"/>
        <w:rPr>
          <w:rFonts w:asciiTheme="majorHAnsi" w:hAnsiTheme="majorHAnsi"/>
          <w:sz w:val="24"/>
          <w:szCs w:val="24"/>
        </w:rPr>
      </w:pPr>
      <w:bookmarkStart w:id="80" w:name="_Toc25850965"/>
      <w:r w:rsidRPr="00C27D09">
        <w:rPr>
          <w:rFonts w:asciiTheme="majorHAnsi" w:hAnsiTheme="majorHAnsi"/>
          <w:sz w:val="24"/>
          <w:szCs w:val="24"/>
        </w:rPr>
        <w:lastRenderedPageBreak/>
        <w:t>MMFC for LT category of consumers</w:t>
      </w:r>
      <w:bookmarkEnd w:id="80"/>
    </w:p>
    <w:p w:rsidR="00C27D09" w:rsidRPr="00453961" w:rsidRDefault="00C27D09" w:rsidP="00C27D09">
      <w:pPr>
        <w:spacing w:line="360" w:lineRule="auto"/>
        <w:jc w:val="both"/>
        <w:rPr>
          <w:rFonts w:asciiTheme="majorHAnsi" w:hAnsiTheme="majorHAnsi" w:cs="Arial"/>
        </w:rPr>
      </w:pPr>
      <w:r w:rsidRPr="00453961">
        <w:rPr>
          <w:rFonts w:asciiTheme="majorHAnsi" w:hAnsiTheme="majorHAnsi" w:cs="Arial"/>
        </w:rPr>
        <w:t xml:space="preserve">Presently LT category of consumers except Large, PWWS&gt;110Kva &amp; Specified Public Purposes&gt;110Kva and above are paying Monthly minimum fixed charges on the basis of their connected load. The mechanism </w:t>
      </w:r>
      <w:r w:rsidR="009D2666" w:rsidRPr="00453961">
        <w:rPr>
          <w:rFonts w:asciiTheme="majorHAnsi" w:hAnsiTheme="majorHAnsi" w:cs="Arial"/>
        </w:rPr>
        <w:t xml:space="preserve">of </w:t>
      </w:r>
      <w:r w:rsidRPr="00453961">
        <w:rPr>
          <w:rFonts w:asciiTheme="majorHAnsi" w:hAnsiTheme="majorHAnsi" w:cs="Arial"/>
        </w:rPr>
        <w:t xml:space="preserve">MMFC </w:t>
      </w:r>
      <w:r w:rsidR="009D2666" w:rsidRPr="00453961">
        <w:rPr>
          <w:rFonts w:asciiTheme="majorHAnsi" w:hAnsiTheme="majorHAnsi" w:cs="Arial"/>
        </w:rPr>
        <w:t xml:space="preserve">is one rate </w:t>
      </w:r>
      <w:r w:rsidRPr="00453961">
        <w:rPr>
          <w:rFonts w:asciiTheme="majorHAnsi" w:hAnsiTheme="majorHAnsi" w:cs="Arial"/>
        </w:rPr>
        <w:t>for 1</w:t>
      </w:r>
      <w:r w:rsidRPr="00453961">
        <w:rPr>
          <w:rFonts w:asciiTheme="majorHAnsi" w:hAnsiTheme="majorHAnsi" w:cs="Arial"/>
          <w:vertAlign w:val="superscript"/>
        </w:rPr>
        <w:t>st</w:t>
      </w:r>
      <w:r w:rsidRPr="00453961">
        <w:rPr>
          <w:rFonts w:asciiTheme="majorHAnsi" w:hAnsiTheme="majorHAnsi" w:cs="Arial"/>
        </w:rPr>
        <w:t xml:space="preserve"> Kw or part thereof and a separate </w:t>
      </w:r>
      <w:r w:rsidR="009D2666" w:rsidRPr="00453961">
        <w:rPr>
          <w:rFonts w:asciiTheme="majorHAnsi" w:hAnsiTheme="majorHAnsi" w:cs="Arial"/>
        </w:rPr>
        <w:t xml:space="preserve">rate </w:t>
      </w:r>
      <w:r w:rsidRPr="00453961">
        <w:rPr>
          <w:rFonts w:asciiTheme="majorHAnsi" w:hAnsiTheme="majorHAnsi" w:cs="Arial"/>
        </w:rPr>
        <w:t>for additional Kw or part thereof.  In case of Domestic, General purpose, Specified Public Purpose &amp; PWWS the rate is same as for 1</w:t>
      </w:r>
      <w:r w:rsidRPr="00453961">
        <w:rPr>
          <w:rFonts w:asciiTheme="majorHAnsi" w:hAnsiTheme="majorHAnsi" w:cs="Arial"/>
          <w:vertAlign w:val="superscript"/>
        </w:rPr>
        <w:t>st</w:t>
      </w:r>
      <w:r w:rsidRPr="00453961">
        <w:rPr>
          <w:rFonts w:asciiTheme="majorHAnsi" w:hAnsiTheme="majorHAnsi" w:cs="Arial"/>
        </w:rPr>
        <w:t xml:space="preserve"> kw as well as additional Kw. However, in case of other category the rate for additional Kw and part thereof is very much lower for which the revenue of the utility is highly affected as well as creating discrimination among LT category of consumers. For example a Small indust</w:t>
      </w:r>
      <w:r w:rsidR="008A2D44" w:rsidRPr="00453961">
        <w:rPr>
          <w:rFonts w:asciiTheme="majorHAnsi" w:hAnsiTheme="majorHAnsi" w:cs="Arial"/>
        </w:rPr>
        <w:t>r</w:t>
      </w:r>
      <w:r w:rsidRPr="00453961">
        <w:rPr>
          <w:rFonts w:asciiTheme="majorHAnsi" w:hAnsiTheme="majorHAnsi" w:cs="Arial"/>
        </w:rPr>
        <w:t>y with 10 Kw load is paying Rs.80 for 1</w:t>
      </w:r>
      <w:r w:rsidRPr="00453961">
        <w:rPr>
          <w:rFonts w:asciiTheme="majorHAnsi" w:hAnsiTheme="majorHAnsi" w:cs="Arial"/>
          <w:vertAlign w:val="superscript"/>
        </w:rPr>
        <w:t>st</w:t>
      </w:r>
      <w:r w:rsidRPr="00453961">
        <w:rPr>
          <w:rFonts w:asciiTheme="majorHAnsi" w:hAnsiTheme="majorHAnsi" w:cs="Arial"/>
        </w:rPr>
        <w:t xml:space="preserve"> Kw and for balance 9Kw is paying </w:t>
      </w:r>
      <w:r w:rsidR="008A2D44" w:rsidRPr="00453961">
        <w:rPr>
          <w:rFonts w:asciiTheme="majorHAnsi" w:hAnsiTheme="majorHAnsi" w:cs="Arial"/>
        </w:rPr>
        <w:t>@ Rs. 35 per Kw (Rs.35X9 Kw=Rs.315). So total MMFC is Rs.395/- instead of Rs.800/- (i.e Rs.80 X 10Kw), similarly in case of LT medium industry it is Rs.100/- for 1</w:t>
      </w:r>
      <w:r w:rsidR="008A2D44" w:rsidRPr="00453961">
        <w:rPr>
          <w:rFonts w:asciiTheme="majorHAnsi" w:hAnsiTheme="majorHAnsi" w:cs="Arial"/>
          <w:vertAlign w:val="superscript"/>
        </w:rPr>
        <w:t>st</w:t>
      </w:r>
      <w:r w:rsidR="008A2D44" w:rsidRPr="00453961">
        <w:rPr>
          <w:rFonts w:asciiTheme="majorHAnsi" w:hAnsiTheme="majorHAnsi" w:cs="Arial"/>
        </w:rPr>
        <w:t xml:space="preserve"> KW or part thereof and for additional Kw it is only Rs.80/- per Kw. The minimum load for LT medium category is &gt;= 22 Kva and in case of Small it is &lt;22 Kva. The present MMFC charge is appended below for better appreciation of Ho’ble Commission.</w:t>
      </w:r>
    </w:p>
    <w:p w:rsidR="008A2D44" w:rsidRPr="00453961" w:rsidRDefault="00807242" w:rsidP="00C27D09">
      <w:pPr>
        <w:spacing w:line="360" w:lineRule="auto"/>
        <w:jc w:val="both"/>
        <w:rPr>
          <w:rFonts w:asciiTheme="majorHAnsi" w:hAnsiTheme="majorHAnsi" w:cs="Arial"/>
        </w:rPr>
      </w:pPr>
      <w:r>
        <w:rPr>
          <w:rFonts w:asciiTheme="majorHAnsi" w:hAnsiTheme="majorHAnsi" w:cs="Arial"/>
        </w:rPr>
      </w:r>
      <w:r>
        <w:rPr>
          <w:rFonts w:asciiTheme="majorHAnsi" w:hAnsiTheme="majorHAnsi" w:cs="Arial"/>
        </w:rPr>
        <w:pict>
          <v:group id="_x0000_s1243" editas="canvas" style="width:516.35pt;height:395.95pt;mso-position-horizontal-relative:char;mso-position-vertical-relative:line" coordorigin="-9,-10" coordsize="10327,791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42" type="#_x0000_t75" style="position:absolute;left:-9;top:-10;width:10327;height:7919" o:preferrelative="f">
              <v:fill o:detectmouseclick="t"/>
              <v:path o:extrusionok="t" o:connecttype="none"/>
              <o:lock v:ext="edit" text="t"/>
            </v:shape>
            <v:group id="_x0000_s1444" style="position:absolute;left:-9;top:-10;width:9787;height:7876" coordorigin="-9,-10" coordsize="9787,7876">
              <v:rect id="_x0000_s1244" style="position:absolute;left:103;top:1603;width:217;height:230;mso-wrap-style:none" filled="f" stroked="f">
                <v:textbox style="mso-fit-shape-to-text:t" inset="0,0,0,0">
                  <w:txbxContent>
                    <w:p w:rsidR="00533AE8" w:rsidRDefault="00533AE8">
                      <w:r>
                        <w:rPr>
                          <w:b/>
                          <w:bCs/>
                          <w:color w:val="000000"/>
                          <w:sz w:val="20"/>
                          <w:szCs w:val="20"/>
                        </w:rPr>
                        <w:t xml:space="preserve">Sl. </w:t>
                      </w:r>
                    </w:p>
                  </w:txbxContent>
                </v:textbox>
              </v:rect>
              <v:rect id="_x0000_s1245" style="position:absolute;left:63;top:1865;width:295;height:230;mso-wrap-style:none" filled="f" stroked="f">
                <v:textbox style="mso-fit-shape-to-text:t" inset="0,0,0,0">
                  <w:txbxContent>
                    <w:p w:rsidR="00533AE8" w:rsidRDefault="00533AE8">
                      <w:r>
                        <w:rPr>
                          <w:b/>
                          <w:bCs/>
                          <w:color w:val="000000"/>
                          <w:sz w:val="20"/>
                          <w:szCs w:val="20"/>
                        </w:rPr>
                        <w:t>No.</w:t>
                      </w:r>
                    </w:p>
                  </w:txbxContent>
                </v:textbox>
              </v:rect>
              <v:rect id="_x0000_s1246" style="position:absolute;left:1707;top:1867;width:2022;height:230;mso-wrap-style:none" filled="f" stroked="f">
                <v:textbox style="mso-fit-shape-to-text:t" inset="0,0,0,0">
                  <w:txbxContent>
                    <w:p w:rsidR="00533AE8" w:rsidRDefault="00533AE8">
                      <w:r>
                        <w:rPr>
                          <w:b/>
                          <w:bCs/>
                          <w:color w:val="000000"/>
                          <w:sz w:val="20"/>
                          <w:szCs w:val="20"/>
                        </w:rPr>
                        <w:t>Category of Consumers</w:t>
                      </w:r>
                    </w:p>
                  </w:txbxContent>
                </v:textbox>
              </v:rect>
              <v:rect id="_x0000_s1247" style="position:absolute;left:5062;top:812;width:367;height:230;mso-wrap-style:none" filled="f" stroked="f">
                <v:textbox style="mso-fit-shape-to-text:t" inset="0,0,0,0">
                  <w:txbxContent>
                    <w:p w:rsidR="00533AE8" w:rsidRDefault="00533AE8">
                      <w:r>
                        <w:rPr>
                          <w:b/>
                          <w:bCs/>
                          <w:color w:val="000000"/>
                          <w:sz w:val="20"/>
                          <w:szCs w:val="20"/>
                        </w:rPr>
                        <w:t>Volt</w:t>
                      </w:r>
                    </w:p>
                  </w:txbxContent>
                </v:textbox>
              </v:rect>
              <v:rect id="_x0000_s1248" style="position:absolute;left:5099;top:1073;width:289;height:230;mso-wrap-style:none" filled="f" stroked="f">
                <v:textbox style="mso-fit-shape-to-text:t" inset="0,0,0,0">
                  <w:txbxContent>
                    <w:p w:rsidR="00533AE8" w:rsidRDefault="00533AE8">
                      <w:r>
                        <w:rPr>
                          <w:b/>
                          <w:bCs/>
                          <w:color w:val="000000"/>
                          <w:sz w:val="20"/>
                          <w:szCs w:val="20"/>
                        </w:rPr>
                        <w:t xml:space="preserve">age </w:t>
                      </w:r>
                    </w:p>
                  </w:txbxContent>
                </v:textbox>
              </v:rect>
              <v:rect id="_x0000_s1249" style="position:absolute;left:5158;top:1337;width:167;height:230;mso-wrap-style:none" filled="f" stroked="f">
                <v:textbox style="mso-fit-shape-to-text:t" inset="0,0,0,0">
                  <w:txbxContent>
                    <w:p w:rsidR="00533AE8" w:rsidRDefault="00533AE8">
                      <w:r>
                        <w:rPr>
                          <w:b/>
                          <w:bCs/>
                          <w:color w:val="000000"/>
                          <w:sz w:val="20"/>
                          <w:szCs w:val="20"/>
                        </w:rPr>
                        <w:t xml:space="preserve">of </w:t>
                      </w:r>
                    </w:p>
                  </w:txbxContent>
                </v:textbox>
              </v:rect>
              <v:rect id="_x0000_s1250" style="position:absolute;left:5025;top:1601;width:445;height:230;mso-wrap-style:none" filled="f" stroked="f">
                <v:textbox style="mso-fit-shape-to-text:t" inset="0,0,0,0">
                  <w:txbxContent>
                    <w:p w:rsidR="00533AE8" w:rsidRDefault="00533AE8">
                      <w:r>
                        <w:rPr>
                          <w:b/>
                          <w:bCs/>
                          <w:color w:val="000000"/>
                          <w:sz w:val="20"/>
                          <w:szCs w:val="20"/>
                        </w:rPr>
                        <w:t>Supp</w:t>
                      </w:r>
                    </w:p>
                  </w:txbxContent>
                </v:textbox>
              </v:rect>
              <v:rect id="_x0000_s1251" style="position:absolute;left:5165;top:1865;width:156;height:230;mso-wrap-style:none" filled="f" stroked="f">
                <v:textbox style="mso-fit-shape-to-text:t" inset="0,0,0,0">
                  <w:txbxContent>
                    <w:p w:rsidR="00533AE8" w:rsidRDefault="00533AE8">
                      <w:r>
                        <w:rPr>
                          <w:b/>
                          <w:bCs/>
                          <w:color w:val="000000"/>
                          <w:sz w:val="20"/>
                          <w:szCs w:val="20"/>
                        </w:rPr>
                        <w:t xml:space="preserve">ly  </w:t>
                      </w:r>
                    </w:p>
                  </w:txbxContent>
                </v:textbox>
              </v:rect>
              <v:rect id="_x0000_s1252" style="position:absolute;left:5701;top:1339;width:623;height:230;mso-wrap-style:none" filled="f" stroked="f">
                <v:textbox style="mso-fit-shape-to-text:t" inset="0,0,0,0">
                  <w:txbxContent>
                    <w:p w:rsidR="00533AE8" w:rsidRDefault="00533AE8">
                      <w:r>
                        <w:rPr>
                          <w:b/>
                          <w:bCs/>
                          <w:color w:val="000000"/>
                          <w:sz w:val="20"/>
                          <w:szCs w:val="20"/>
                        </w:rPr>
                        <w:t xml:space="preserve">Energy </w:t>
                      </w:r>
                    </w:p>
                  </w:txbxContent>
                </v:textbox>
              </v:rect>
              <v:rect id="_x0000_s1253" style="position:absolute;left:5694;top:1601;width:634;height:230;mso-wrap-style:none" filled="f" stroked="f">
                <v:textbox style="mso-fit-shape-to-text:t" inset="0,0,0,0">
                  <w:txbxContent>
                    <w:p w:rsidR="00533AE8" w:rsidRDefault="00533AE8">
                      <w:r>
                        <w:rPr>
                          <w:b/>
                          <w:bCs/>
                          <w:color w:val="000000"/>
                          <w:sz w:val="20"/>
                          <w:szCs w:val="20"/>
                        </w:rPr>
                        <w:t xml:space="preserve">Charge  </w:t>
                      </w:r>
                    </w:p>
                  </w:txbxContent>
                </v:textbox>
              </v:rect>
              <v:rect id="_x0000_s1254" style="position:absolute;left:5647;top:1865;width:734;height:230;mso-wrap-style:none" filled="f" stroked="f">
                <v:textbox style="mso-fit-shape-to-text:t" inset="0,0,0,0">
                  <w:txbxContent>
                    <w:p w:rsidR="00533AE8" w:rsidRDefault="00533AE8">
                      <w:r>
                        <w:rPr>
                          <w:b/>
                          <w:bCs/>
                          <w:color w:val="000000"/>
                          <w:sz w:val="20"/>
                          <w:szCs w:val="20"/>
                        </w:rPr>
                        <w:t>(P/kWh)</w:t>
                      </w:r>
                    </w:p>
                  </w:txbxContent>
                </v:textbox>
              </v:rect>
              <v:rect id="_x0000_s1255" style="position:absolute;left:6652;top:284;width:734;height:230;mso-wrap-style:none" filled="f" stroked="f">
                <v:textbox style="mso-fit-shape-to-text:t" inset="0,0,0,0">
                  <w:txbxContent>
                    <w:p w:rsidR="00533AE8" w:rsidRDefault="00533AE8">
                      <w:r>
                        <w:rPr>
                          <w:b/>
                          <w:bCs/>
                          <w:color w:val="000000"/>
                          <w:sz w:val="20"/>
                          <w:szCs w:val="20"/>
                        </w:rPr>
                        <w:t xml:space="preserve">Monthly </w:t>
                      </w:r>
                    </w:p>
                  </w:txbxContent>
                </v:textbox>
              </v:rect>
              <v:rect id="_x0000_s1256" style="position:absolute;left:6598;top:545;width:856;height:230;mso-wrap-style:none" filled="f" stroked="f">
                <v:textbox style="mso-fit-shape-to-text:t" inset="0,0,0,0">
                  <w:txbxContent>
                    <w:p w:rsidR="00533AE8" w:rsidRDefault="00533AE8">
                      <w:r>
                        <w:rPr>
                          <w:b/>
                          <w:bCs/>
                          <w:color w:val="000000"/>
                          <w:sz w:val="20"/>
                          <w:szCs w:val="20"/>
                        </w:rPr>
                        <w:t xml:space="preserve">Minimum </w:t>
                      </w:r>
                    </w:p>
                  </w:txbxContent>
                </v:textbox>
              </v:rect>
              <v:rect id="_x0000_s1257" style="position:absolute;left:6778;top:809;width:478;height:230;mso-wrap-style:none" filled="f" stroked="f">
                <v:textbox style="mso-fit-shape-to-text:t" inset="0,0,0,0">
                  <w:txbxContent>
                    <w:p w:rsidR="00533AE8" w:rsidRDefault="00533AE8">
                      <w:r>
                        <w:rPr>
                          <w:b/>
                          <w:bCs/>
                          <w:color w:val="000000"/>
                          <w:sz w:val="20"/>
                          <w:szCs w:val="20"/>
                        </w:rPr>
                        <w:t xml:space="preserve">Fixed </w:t>
                      </w:r>
                    </w:p>
                  </w:txbxContent>
                </v:textbox>
              </v:rect>
              <v:rect id="_x0000_s1258" style="position:absolute;left:6551;top:1073;width:939;height:230;mso-wrap-style:none" filled="f" stroked="f">
                <v:textbox style="mso-fit-shape-to-text:t" inset="0,0,0,0">
                  <w:txbxContent>
                    <w:p w:rsidR="00533AE8" w:rsidRDefault="00533AE8">
                      <w:r>
                        <w:rPr>
                          <w:b/>
                          <w:bCs/>
                          <w:color w:val="000000"/>
                          <w:sz w:val="20"/>
                          <w:szCs w:val="20"/>
                        </w:rPr>
                        <w:t xml:space="preserve">Charge for </w:t>
                      </w:r>
                    </w:p>
                  </w:txbxContent>
                </v:textbox>
              </v:rect>
              <v:rect id="_x0000_s1259" style="position:absolute;left:6640;top:1337;width:761;height:230;mso-wrap-style:none" filled="f" stroked="f">
                <v:textbox style="mso-fit-shape-to-text:t" inset="0,0,0,0">
                  <w:txbxContent>
                    <w:p w:rsidR="00533AE8" w:rsidRDefault="00533AE8">
                      <w:r>
                        <w:rPr>
                          <w:b/>
                          <w:bCs/>
                          <w:color w:val="000000"/>
                          <w:sz w:val="20"/>
                          <w:szCs w:val="20"/>
                        </w:rPr>
                        <w:t xml:space="preserve">first KW </w:t>
                      </w:r>
                    </w:p>
                  </w:txbxContent>
                </v:textbox>
              </v:rect>
              <v:rect id="_x0000_s1260" style="position:absolute;left:6715;top:1601;width:606;height:230;mso-wrap-style:none" filled="f" stroked="f">
                <v:textbox style="mso-fit-shape-to-text:t" inset="0,0,0,0">
                  <w:txbxContent>
                    <w:p w:rsidR="00533AE8" w:rsidRDefault="00533AE8">
                      <w:r>
                        <w:rPr>
                          <w:b/>
                          <w:bCs/>
                          <w:color w:val="000000"/>
                          <w:sz w:val="20"/>
                          <w:szCs w:val="20"/>
                        </w:rPr>
                        <w:t xml:space="preserve">or part </w:t>
                      </w:r>
                    </w:p>
                  </w:txbxContent>
                </v:textbox>
              </v:rect>
              <v:rect id="_x0000_s1261" style="position:absolute;left:6813;top:1865;width:406;height:230;mso-wrap-style:none" filled="f" stroked="f">
                <v:textbox style="mso-fit-shape-to-text:t" inset="0,0,0,0">
                  <w:txbxContent>
                    <w:p w:rsidR="00533AE8" w:rsidRDefault="00533AE8">
                      <w:r>
                        <w:rPr>
                          <w:b/>
                          <w:bCs/>
                          <w:color w:val="000000"/>
                          <w:sz w:val="20"/>
                          <w:szCs w:val="20"/>
                        </w:rPr>
                        <w:t>(Rs.)</w:t>
                      </w:r>
                    </w:p>
                  </w:txbxContent>
                </v:textbox>
              </v:rect>
              <v:rect id="_x0000_s1262" style="position:absolute;left:7659;top:284;width:734;height:230;mso-wrap-style:none" filled="f" stroked="f">
                <v:textbox style="mso-fit-shape-to-text:t" inset="0,0,0,0">
                  <w:txbxContent>
                    <w:p w:rsidR="00533AE8" w:rsidRDefault="00533AE8">
                      <w:r>
                        <w:rPr>
                          <w:b/>
                          <w:bCs/>
                          <w:color w:val="000000"/>
                          <w:sz w:val="20"/>
                          <w:szCs w:val="20"/>
                        </w:rPr>
                        <w:t xml:space="preserve">Monthly </w:t>
                      </w:r>
                    </w:p>
                  </w:txbxContent>
                </v:textbox>
              </v:rect>
              <v:rect id="_x0000_s1263" style="position:absolute;left:7785;top:545;width:478;height:230;mso-wrap-style:none" filled="f" stroked="f">
                <v:textbox style="mso-fit-shape-to-text:t" inset="0,0,0,0">
                  <w:txbxContent>
                    <w:p w:rsidR="00533AE8" w:rsidRDefault="00533AE8">
                      <w:r>
                        <w:rPr>
                          <w:b/>
                          <w:bCs/>
                          <w:color w:val="000000"/>
                          <w:sz w:val="20"/>
                          <w:szCs w:val="20"/>
                        </w:rPr>
                        <w:t xml:space="preserve">Fixed </w:t>
                      </w:r>
                    </w:p>
                  </w:txbxContent>
                </v:textbox>
              </v:rect>
              <v:rect id="_x0000_s1264" style="position:absolute;left:7558;top:809;width:939;height:230;mso-wrap-style:none" filled="f" stroked="f">
                <v:textbox style="mso-fit-shape-to-text:t" inset="0,0,0,0">
                  <w:txbxContent>
                    <w:p w:rsidR="00533AE8" w:rsidRDefault="00533AE8">
                      <w:r>
                        <w:rPr>
                          <w:b/>
                          <w:bCs/>
                          <w:color w:val="000000"/>
                          <w:sz w:val="20"/>
                          <w:szCs w:val="20"/>
                        </w:rPr>
                        <w:t xml:space="preserve">Charge for </w:t>
                      </w:r>
                    </w:p>
                  </w:txbxContent>
                </v:textbox>
              </v:rect>
              <v:rect id="_x0000_s1265" style="position:absolute;left:7865;top:1073;width:312;height:230;mso-wrap-style:none" filled="f" stroked="f">
                <v:textbox style="mso-fit-shape-to-text:t" inset="0,0,0,0">
                  <w:txbxContent>
                    <w:p w:rsidR="00533AE8" w:rsidRDefault="00533AE8">
                      <w:r>
                        <w:rPr>
                          <w:b/>
                          <w:bCs/>
                          <w:color w:val="000000"/>
                          <w:sz w:val="20"/>
                          <w:szCs w:val="20"/>
                        </w:rPr>
                        <w:t xml:space="preserve">any </w:t>
                      </w:r>
                    </w:p>
                  </w:txbxContent>
                </v:textbox>
              </v:rect>
              <v:rect id="_x0000_s1266" style="position:absolute;left:7595;top:1337;width:867;height:230;mso-wrap-style:none" filled="f" stroked="f">
                <v:textbox style="mso-fit-shape-to-text:t" inset="0,0,0,0">
                  <w:txbxContent>
                    <w:p w:rsidR="00533AE8" w:rsidRDefault="00533AE8">
                      <w:r>
                        <w:rPr>
                          <w:b/>
                          <w:bCs/>
                          <w:color w:val="000000"/>
                          <w:sz w:val="20"/>
                          <w:szCs w:val="20"/>
                        </w:rPr>
                        <w:t xml:space="preserve">additional </w:t>
                      </w:r>
                    </w:p>
                  </w:txbxContent>
                </v:textbox>
              </v:rect>
              <v:rect id="_x0000_s1267" style="position:absolute;left:7726;top:1601;width:595;height:230;mso-wrap-style:none" filled="f" stroked="f">
                <v:textbox style="mso-fit-shape-to-text:t" inset="0,0,0,0">
                  <w:txbxContent>
                    <w:p w:rsidR="00533AE8" w:rsidRDefault="00533AE8">
                      <w:r>
                        <w:rPr>
                          <w:b/>
                          <w:bCs/>
                          <w:color w:val="000000"/>
                          <w:sz w:val="20"/>
                          <w:szCs w:val="20"/>
                        </w:rPr>
                        <w:t xml:space="preserve">KW or </w:t>
                      </w:r>
                    </w:p>
                  </w:txbxContent>
                </v:textbox>
              </v:rect>
              <v:rect id="_x0000_s1268" style="position:absolute;left:7616;top:1865;width:823;height:230;mso-wrap-style:none" filled="f" stroked="f">
                <v:textbox style="mso-fit-shape-to-text:t" inset="0,0,0,0">
                  <w:txbxContent>
                    <w:p w:rsidR="00533AE8" w:rsidRDefault="00533AE8">
                      <w:r>
                        <w:rPr>
                          <w:b/>
                          <w:bCs/>
                          <w:color w:val="000000"/>
                          <w:sz w:val="20"/>
                          <w:szCs w:val="20"/>
                        </w:rPr>
                        <w:t>part (Rs.)</w:t>
                      </w:r>
                    </w:p>
                  </w:txbxContent>
                </v:textbox>
              </v:rect>
              <v:rect id="_x0000_s1269" style="position:absolute;left:8848;top:1339;width:600;height:230;mso-wrap-style:none" filled="f" stroked="f">
                <v:textbox style="mso-fit-shape-to-text:t" inset="0,0,0,0">
                  <w:txbxContent>
                    <w:p w:rsidR="00533AE8" w:rsidRDefault="00533AE8">
                      <w:r>
                        <w:rPr>
                          <w:b/>
                          <w:bCs/>
                          <w:color w:val="000000"/>
                          <w:sz w:val="20"/>
                          <w:szCs w:val="20"/>
                        </w:rPr>
                        <w:t xml:space="preserve">Rebate               </w:t>
                      </w:r>
                    </w:p>
                  </w:txbxContent>
                </v:textbox>
              </v:rect>
              <v:rect id="_x0000_s1270" style="position:absolute;left:8757;top:1601;width:789;height:230;mso-wrap-style:none" filled="f" stroked="f">
                <v:textbox style="mso-fit-shape-to-text:t" inset="0,0,0,0">
                  <w:txbxContent>
                    <w:p w:rsidR="00533AE8" w:rsidRDefault="00533AE8">
                      <w:r>
                        <w:rPr>
                          <w:b/>
                          <w:bCs/>
                          <w:color w:val="000000"/>
                          <w:sz w:val="20"/>
                          <w:szCs w:val="20"/>
                        </w:rPr>
                        <w:t xml:space="preserve">(P/kWh)/ </w:t>
                      </w:r>
                    </w:p>
                  </w:txbxContent>
                </v:textbox>
              </v:rect>
              <v:rect id="_x0000_s1271" style="position:absolute;left:8956;top:1865;width:378;height:230;mso-wrap-style:none" filled="f" stroked="f">
                <v:textbox style="mso-fit-shape-to-text:t" inset="0,0,0,0">
                  <w:txbxContent>
                    <w:p w:rsidR="00533AE8" w:rsidRDefault="00533AE8">
                      <w:r>
                        <w:rPr>
                          <w:b/>
                          <w:bCs/>
                          <w:color w:val="000000"/>
                          <w:sz w:val="20"/>
                          <w:szCs w:val="20"/>
                        </w:rPr>
                        <w:t xml:space="preserve">DPS                 </w:t>
                      </w:r>
                    </w:p>
                  </w:txbxContent>
                </v:textbox>
              </v:rect>
              <v:rect id="_x0000_s1272" style="position:absolute;left:166;top:2737;width:101;height:230;mso-wrap-style:none" filled="f" stroked="f">
                <v:textbox style="mso-fit-shape-to-text:t" inset="0,0,0,0">
                  <w:txbxContent>
                    <w:p w:rsidR="00533AE8" w:rsidRDefault="00533AE8">
                      <w:r>
                        <w:rPr>
                          <w:color w:val="000000"/>
                          <w:sz w:val="20"/>
                          <w:szCs w:val="20"/>
                        </w:rPr>
                        <w:t>1</w:t>
                      </w:r>
                    </w:p>
                  </w:txbxContent>
                </v:textbox>
              </v:rect>
              <v:rect id="_x0000_s1273" style="position:absolute;left:438;top:2737;width:767;height:230;mso-wrap-style:none" filled="f" stroked="f">
                <v:textbox style="mso-fit-shape-to-text:t" inset="0,0,0,0">
                  <w:txbxContent>
                    <w:p w:rsidR="00533AE8" w:rsidRDefault="00533AE8">
                      <w:r>
                        <w:rPr>
                          <w:color w:val="000000"/>
                          <w:sz w:val="20"/>
                          <w:szCs w:val="20"/>
                        </w:rPr>
                        <w:t>Domestic</w:t>
                      </w:r>
                    </w:p>
                  </w:txbxContent>
                </v:textbox>
              </v:rect>
              <v:rect id="_x0000_s1274" style="position:absolute;left:98;top:2993;width:239;height:230;mso-wrap-style:none" filled="f" stroked="f">
                <v:textbox style="mso-fit-shape-to-text:t" inset="0,0,0,0">
                  <w:txbxContent>
                    <w:p w:rsidR="00533AE8" w:rsidRDefault="00533AE8">
                      <w:r>
                        <w:rPr>
                          <w:color w:val="000000"/>
                          <w:sz w:val="20"/>
                          <w:szCs w:val="20"/>
                        </w:rPr>
                        <w:t>1.a</w:t>
                      </w:r>
                    </w:p>
                  </w:txbxContent>
                </v:textbox>
              </v:rect>
              <v:rect id="_x0000_s1275" style="position:absolute;left:438;top:2993;width:2036;height:230;mso-wrap-style:none" filled="f" stroked="f">
                <v:textbox style="mso-fit-shape-to-text:t" inset="0,0,0,0">
                  <w:txbxContent>
                    <w:p w:rsidR="00533AE8" w:rsidRDefault="00533AE8">
                      <w:r>
                        <w:rPr>
                          <w:color w:val="000000"/>
                          <w:sz w:val="20"/>
                          <w:szCs w:val="20"/>
                        </w:rPr>
                        <w:t>Kutir Jyoti  &lt; 30U/month</w:t>
                      </w:r>
                    </w:p>
                  </w:txbxContent>
                </v:textbox>
              </v:rect>
              <v:rect id="_x0000_s1276" style="position:absolute;left:5128;top:2993;width:245;height:230;mso-wrap-style:none" filled="f" stroked="f">
                <v:textbox style="mso-fit-shape-to-text:t" inset="0,0,0,0">
                  <w:txbxContent>
                    <w:p w:rsidR="00533AE8" w:rsidRDefault="00533AE8">
                      <w:r>
                        <w:rPr>
                          <w:color w:val="000000"/>
                          <w:sz w:val="20"/>
                          <w:szCs w:val="20"/>
                        </w:rPr>
                        <w:t>LT</w:t>
                      </w:r>
                    </w:p>
                  </w:txbxContent>
                </v:textbox>
              </v:rect>
              <v:rect id="_x0000_s1277" style="position:absolute;left:6919;top:2993;width:201;height:230;mso-wrap-style:none" filled="f" stroked="f">
                <v:textbox style="mso-fit-shape-to-text:t" inset="0,0,0,0">
                  <w:txbxContent>
                    <w:p w:rsidR="00533AE8" w:rsidRDefault="00533AE8">
                      <w:r>
                        <w:rPr>
                          <w:color w:val="000000"/>
                          <w:sz w:val="20"/>
                          <w:szCs w:val="20"/>
                        </w:rPr>
                        <w:t>80</w:t>
                      </w:r>
                    </w:p>
                  </w:txbxContent>
                </v:textbox>
              </v:rect>
              <v:rect id="_x0000_s1278" style="position:absolute;left:91;top:3249;width:251;height:230;mso-wrap-style:none" filled="f" stroked="f">
                <v:textbox style="mso-fit-shape-to-text:t" inset="0,0,0,0">
                  <w:txbxContent>
                    <w:p w:rsidR="00533AE8" w:rsidRDefault="00533AE8">
                      <w:r>
                        <w:rPr>
                          <w:color w:val="000000"/>
                          <w:sz w:val="20"/>
                          <w:szCs w:val="20"/>
                        </w:rPr>
                        <w:t>1.b</w:t>
                      </w:r>
                    </w:p>
                  </w:txbxContent>
                </v:textbox>
              </v:rect>
              <v:rect id="_x0000_s1279" style="position:absolute;left:438;top:3249;width:534;height:230;mso-wrap-style:none" filled="f" stroked="f">
                <v:textbox style="mso-fit-shape-to-text:t" inset="0,0,0,0">
                  <w:txbxContent>
                    <w:p w:rsidR="00533AE8" w:rsidRDefault="00533AE8">
                      <w:r>
                        <w:rPr>
                          <w:color w:val="000000"/>
                          <w:sz w:val="20"/>
                          <w:szCs w:val="20"/>
                        </w:rPr>
                        <w:t>Others</w:t>
                      </w:r>
                    </w:p>
                  </w:txbxContent>
                </v:textbox>
              </v:rect>
              <v:rect id="_x0000_s1280" style="position:absolute;left:9049;top:3249;width:201;height:230;mso-wrap-style:none" filled="f" stroked="f">
                <v:textbox style="mso-fit-shape-to-text:t" inset="0,0,0,0">
                  <w:txbxContent>
                    <w:p w:rsidR="00533AE8" w:rsidRDefault="00533AE8">
                      <w:r>
                        <w:rPr>
                          <w:color w:val="000000"/>
                          <w:sz w:val="20"/>
                          <w:szCs w:val="20"/>
                        </w:rPr>
                        <w:t>10</w:t>
                      </w:r>
                    </w:p>
                  </w:txbxContent>
                </v:textbox>
              </v:rect>
              <v:rect id="_x0000_s1281" style="position:absolute;left:438;top:3506;width:2793;height:230;mso-wrap-style:none" filled="f" stroked="f">
                <v:textbox style="mso-fit-shape-to-text:t" inset="0,0,0,0">
                  <w:txbxContent>
                    <w:p w:rsidR="00533AE8" w:rsidRDefault="00533AE8">
                      <w:r>
                        <w:rPr>
                          <w:color w:val="000000"/>
                          <w:sz w:val="20"/>
                          <w:szCs w:val="20"/>
                        </w:rPr>
                        <w:t xml:space="preserve"> (Consumption &lt;= 50 units/month)</w:t>
                      </w:r>
                    </w:p>
                  </w:txbxContent>
                </v:textbox>
              </v:rect>
              <v:rect id="_x0000_s1282" style="position:absolute;left:5128;top:3506;width:245;height:230;mso-wrap-style:none" filled="f" stroked="f">
                <v:textbox style="mso-fit-shape-to-text:t" inset="0,0,0,0">
                  <w:txbxContent>
                    <w:p w:rsidR="00533AE8" w:rsidRDefault="00533AE8">
                      <w:r>
                        <w:rPr>
                          <w:color w:val="000000"/>
                          <w:sz w:val="20"/>
                          <w:szCs w:val="20"/>
                        </w:rPr>
                        <w:t>LT</w:t>
                      </w:r>
                    </w:p>
                  </w:txbxContent>
                </v:textbox>
              </v:rect>
              <v:rect id="_x0000_s1283" style="position:absolute;left:5863;top:3506;width:301;height:230;mso-wrap-style:none" filled="f" stroked="f">
                <v:textbox style="mso-fit-shape-to-text:t" inset="0,0,0,0">
                  <w:txbxContent>
                    <w:p w:rsidR="00533AE8" w:rsidRDefault="00533AE8">
                      <w:r>
                        <w:rPr>
                          <w:color w:val="000000"/>
                          <w:sz w:val="20"/>
                          <w:szCs w:val="20"/>
                        </w:rPr>
                        <w:t>250</w:t>
                      </w:r>
                    </w:p>
                  </w:txbxContent>
                </v:textbox>
              </v:rect>
              <v:rect id="_x0000_s1284" style="position:absolute;left:6919;top:3506;width:201;height:230;mso-wrap-style:none" filled="f" stroked="f">
                <v:textbox style="mso-fit-shape-to-text:t" inset="0,0,0,0">
                  <w:txbxContent>
                    <w:p w:rsidR="00533AE8" w:rsidRDefault="00533AE8">
                      <w:r>
                        <w:rPr>
                          <w:color w:val="000000"/>
                          <w:sz w:val="20"/>
                          <w:szCs w:val="20"/>
                        </w:rPr>
                        <w:t>20</w:t>
                      </w:r>
                    </w:p>
                  </w:txbxContent>
                </v:textbox>
              </v:rect>
              <v:rect id="_x0000_s1285" style="position:absolute;left:7925;top:3506;width:201;height:230;mso-wrap-style:none" filled="f" stroked="f">
                <v:textbox style="mso-fit-shape-to-text:t" inset="0,0,0,0">
                  <w:txbxContent>
                    <w:p w:rsidR="00533AE8" w:rsidRDefault="00533AE8">
                      <w:r>
                        <w:rPr>
                          <w:color w:val="000000"/>
                          <w:sz w:val="20"/>
                          <w:szCs w:val="20"/>
                        </w:rPr>
                        <w:t>20</w:t>
                      </w:r>
                    </w:p>
                  </w:txbxContent>
                </v:textbox>
              </v:rect>
              <v:rect id="_x0000_s1286" style="position:absolute;left:438;top:3762;width:3256;height:230;mso-wrap-style:none" filled="f" stroked="f">
                <v:textbox style="mso-fit-shape-to-text:t" inset="0,0,0,0">
                  <w:txbxContent>
                    <w:p w:rsidR="00533AE8" w:rsidRDefault="00533AE8">
                      <w:r>
                        <w:rPr>
                          <w:color w:val="000000"/>
                          <w:sz w:val="20"/>
                          <w:szCs w:val="20"/>
                        </w:rPr>
                        <w:t xml:space="preserve"> (Consumption &gt;50, &lt;=200 units/month)</w:t>
                      </w:r>
                    </w:p>
                  </w:txbxContent>
                </v:textbox>
              </v:rect>
              <v:rect id="_x0000_s1287" style="position:absolute;left:5128;top:3762;width:245;height:230;mso-wrap-style:none" filled="f" stroked="f">
                <v:textbox style="mso-fit-shape-to-text:t" inset="0,0,0,0">
                  <w:txbxContent>
                    <w:p w:rsidR="00533AE8" w:rsidRDefault="00533AE8">
                      <w:r>
                        <w:rPr>
                          <w:color w:val="000000"/>
                          <w:sz w:val="20"/>
                          <w:szCs w:val="20"/>
                        </w:rPr>
                        <w:t>LT</w:t>
                      </w:r>
                    </w:p>
                  </w:txbxContent>
                </v:textbox>
              </v:rect>
              <v:rect id="_x0000_s1288" style="position:absolute;left:5863;top:3762;width:301;height:230;mso-wrap-style:none" filled="f" stroked="f">
                <v:textbox style="mso-fit-shape-to-text:t" inset="0,0,0,0">
                  <w:txbxContent>
                    <w:p w:rsidR="00533AE8" w:rsidRDefault="00533AE8">
                      <w:r>
                        <w:rPr>
                          <w:color w:val="000000"/>
                          <w:sz w:val="20"/>
                          <w:szCs w:val="20"/>
                        </w:rPr>
                        <w:t>430</w:t>
                      </w:r>
                    </w:p>
                  </w:txbxContent>
                </v:textbox>
              </v:rect>
              <v:rect id="_x0000_s1289" style="position:absolute;left:6919;top:3762;width:201;height:230;mso-wrap-style:none" filled="f" stroked="f">
                <v:textbox style="mso-fit-shape-to-text:t" inset="0,0,0,0">
                  <w:txbxContent>
                    <w:p w:rsidR="00533AE8" w:rsidRDefault="00533AE8">
                      <w:r>
                        <w:rPr>
                          <w:color w:val="000000"/>
                          <w:sz w:val="20"/>
                          <w:szCs w:val="20"/>
                        </w:rPr>
                        <w:t>20</w:t>
                      </w:r>
                    </w:p>
                  </w:txbxContent>
                </v:textbox>
              </v:rect>
              <v:rect id="_x0000_s1290" style="position:absolute;left:7925;top:3762;width:201;height:230;mso-wrap-style:none" filled="f" stroked="f">
                <v:textbox style="mso-fit-shape-to-text:t" inset="0,0,0,0">
                  <w:txbxContent>
                    <w:p w:rsidR="00533AE8" w:rsidRDefault="00533AE8">
                      <w:r>
                        <w:rPr>
                          <w:color w:val="000000"/>
                          <w:sz w:val="20"/>
                          <w:szCs w:val="20"/>
                        </w:rPr>
                        <w:t>20</w:t>
                      </w:r>
                    </w:p>
                  </w:txbxContent>
                </v:textbox>
              </v:rect>
              <v:rect id="_x0000_s1291" style="position:absolute;left:438;top:4018;width:3356;height:230;mso-wrap-style:none" filled="f" stroked="f">
                <v:textbox style="mso-fit-shape-to-text:t" inset="0,0,0,0">
                  <w:txbxContent>
                    <w:p w:rsidR="00533AE8" w:rsidRDefault="00533AE8">
                      <w:r>
                        <w:rPr>
                          <w:color w:val="000000"/>
                          <w:sz w:val="20"/>
                          <w:szCs w:val="20"/>
                        </w:rPr>
                        <w:t xml:space="preserve"> (Consumption &gt;200, &lt;=400 units/month)</w:t>
                      </w:r>
                    </w:p>
                  </w:txbxContent>
                </v:textbox>
              </v:rect>
              <v:rect id="_x0000_s1292" style="position:absolute;left:5128;top:4018;width:245;height:230;mso-wrap-style:none" filled="f" stroked="f">
                <v:textbox style="mso-fit-shape-to-text:t" inset="0,0,0,0">
                  <w:txbxContent>
                    <w:p w:rsidR="00533AE8" w:rsidRDefault="00533AE8">
                      <w:r>
                        <w:rPr>
                          <w:color w:val="000000"/>
                          <w:sz w:val="20"/>
                          <w:szCs w:val="20"/>
                        </w:rPr>
                        <w:t>LT</w:t>
                      </w:r>
                    </w:p>
                  </w:txbxContent>
                </v:textbox>
              </v:rect>
              <v:rect id="_x0000_s1293" style="position:absolute;left:5863;top:4018;width:301;height:230;mso-wrap-style:none" filled="f" stroked="f">
                <v:textbox style="mso-fit-shape-to-text:t" inset="0,0,0,0">
                  <w:txbxContent>
                    <w:p w:rsidR="00533AE8" w:rsidRDefault="00533AE8">
                      <w:r>
                        <w:rPr>
                          <w:color w:val="000000"/>
                          <w:sz w:val="20"/>
                          <w:szCs w:val="20"/>
                        </w:rPr>
                        <w:t>530</w:t>
                      </w:r>
                    </w:p>
                  </w:txbxContent>
                </v:textbox>
              </v:rect>
              <v:rect id="_x0000_s1294" style="position:absolute;left:6919;top:4018;width:201;height:230;mso-wrap-style:none" filled="f" stroked="f">
                <v:textbox style="mso-fit-shape-to-text:t" inset="0,0,0,0">
                  <w:txbxContent>
                    <w:p w:rsidR="00533AE8" w:rsidRDefault="00533AE8">
                      <w:r>
                        <w:rPr>
                          <w:color w:val="000000"/>
                          <w:sz w:val="20"/>
                          <w:szCs w:val="20"/>
                        </w:rPr>
                        <w:t>20</w:t>
                      </w:r>
                    </w:p>
                  </w:txbxContent>
                </v:textbox>
              </v:rect>
              <v:rect id="_x0000_s1295" style="position:absolute;left:7925;top:4018;width:201;height:230;mso-wrap-style:none" filled="f" stroked="f">
                <v:textbox style="mso-fit-shape-to-text:t" inset="0,0,0,0">
                  <w:txbxContent>
                    <w:p w:rsidR="00533AE8" w:rsidRDefault="00533AE8">
                      <w:r>
                        <w:rPr>
                          <w:color w:val="000000"/>
                          <w:sz w:val="20"/>
                          <w:szCs w:val="20"/>
                        </w:rPr>
                        <w:t>20</w:t>
                      </w:r>
                    </w:p>
                  </w:txbxContent>
                </v:textbox>
              </v:rect>
              <v:rect id="_x0000_s1296" style="position:absolute;left:438;top:4275;width:2730;height:230;mso-wrap-style:none" filled="f" stroked="f">
                <v:textbox style="mso-fit-shape-to-text:t" inset="0,0,0,0">
                  <w:txbxContent>
                    <w:p w:rsidR="00533AE8" w:rsidRDefault="00533AE8">
                      <w:r>
                        <w:rPr>
                          <w:color w:val="000000"/>
                          <w:sz w:val="20"/>
                          <w:szCs w:val="20"/>
                        </w:rPr>
                        <w:t xml:space="preserve"> (Consumption &gt;400 units/month)</w:t>
                      </w:r>
                    </w:p>
                  </w:txbxContent>
                </v:textbox>
              </v:rect>
              <v:rect id="_x0000_s1297" style="position:absolute;left:5128;top:4275;width:245;height:230;mso-wrap-style:none" filled="f" stroked="f">
                <v:textbox style="mso-fit-shape-to-text:t" inset="0,0,0,0">
                  <w:txbxContent>
                    <w:p w:rsidR="00533AE8" w:rsidRDefault="00533AE8">
                      <w:r>
                        <w:rPr>
                          <w:color w:val="000000"/>
                          <w:sz w:val="20"/>
                          <w:szCs w:val="20"/>
                        </w:rPr>
                        <w:t>LT</w:t>
                      </w:r>
                    </w:p>
                  </w:txbxContent>
                </v:textbox>
              </v:rect>
              <v:rect id="_x0000_s1298" style="position:absolute;left:5863;top:4275;width:301;height:230;mso-wrap-style:none" filled="f" stroked="f">
                <v:textbox style="mso-fit-shape-to-text:t" inset="0,0,0,0">
                  <w:txbxContent>
                    <w:p w:rsidR="00533AE8" w:rsidRDefault="00533AE8">
                      <w:r>
                        <w:rPr>
                          <w:color w:val="000000"/>
                          <w:sz w:val="20"/>
                          <w:szCs w:val="20"/>
                        </w:rPr>
                        <w:t>570</w:t>
                      </w:r>
                    </w:p>
                  </w:txbxContent>
                </v:textbox>
              </v:rect>
              <v:rect id="_x0000_s1299" style="position:absolute;left:6919;top:4275;width:201;height:230;mso-wrap-style:none" filled="f" stroked="f">
                <v:textbox style="mso-fit-shape-to-text:t" inset="0,0,0,0">
                  <w:txbxContent>
                    <w:p w:rsidR="00533AE8" w:rsidRDefault="00533AE8">
                      <w:r>
                        <w:rPr>
                          <w:color w:val="000000"/>
                          <w:sz w:val="20"/>
                          <w:szCs w:val="20"/>
                        </w:rPr>
                        <w:t>20</w:t>
                      </w:r>
                    </w:p>
                  </w:txbxContent>
                </v:textbox>
              </v:rect>
              <v:rect id="_x0000_s1300" style="position:absolute;left:7925;top:4275;width:201;height:230;mso-wrap-style:none" filled="f" stroked="f">
                <v:textbox style="mso-fit-shape-to-text:t" inset="0,0,0,0">
                  <w:txbxContent>
                    <w:p w:rsidR="00533AE8" w:rsidRDefault="00533AE8">
                      <w:r>
                        <w:rPr>
                          <w:color w:val="000000"/>
                          <w:sz w:val="20"/>
                          <w:szCs w:val="20"/>
                        </w:rPr>
                        <w:t>20</w:t>
                      </w:r>
                    </w:p>
                  </w:txbxContent>
                </v:textbox>
              </v:rect>
              <v:rect id="_x0000_s1301" style="position:absolute;left:166;top:4531;width:101;height:230;mso-wrap-style:none" filled="f" stroked="f">
                <v:textbox style="mso-fit-shape-to-text:t" inset="0,0,0,0">
                  <w:txbxContent>
                    <w:p w:rsidR="00533AE8" w:rsidRDefault="00533AE8">
                      <w:r>
                        <w:rPr>
                          <w:color w:val="000000"/>
                          <w:sz w:val="20"/>
                          <w:szCs w:val="20"/>
                        </w:rPr>
                        <w:t>2</w:t>
                      </w:r>
                    </w:p>
                  </w:txbxContent>
                </v:textbox>
              </v:rect>
              <v:rect id="_x0000_s1302" style="position:absolute;left:438;top:4531;width:2324;height:230;mso-wrap-style:none" filled="f" stroked="f">
                <v:textbox style="mso-fit-shape-to-text:t" inset="0,0,0,0">
                  <w:txbxContent>
                    <w:p w:rsidR="00533AE8" w:rsidRDefault="00533AE8">
                      <w:r>
                        <w:rPr>
                          <w:color w:val="000000"/>
                          <w:sz w:val="20"/>
                          <w:szCs w:val="20"/>
                        </w:rPr>
                        <w:t>General Purpose &lt; 110 KVA</w:t>
                      </w:r>
                    </w:p>
                  </w:txbxContent>
                </v:textbox>
              </v:rect>
              <v:rect id="_x0000_s1303" style="position:absolute;left:9049;top:4531;width:201;height:230;mso-wrap-style:none" filled="f" stroked="f">
                <v:textbox style="mso-fit-shape-to-text:t" inset="0,0,0,0">
                  <w:txbxContent>
                    <w:p w:rsidR="00533AE8" w:rsidRDefault="00533AE8">
                      <w:r>
                        <w:rPr>
                          <w:color w:val="000000"/>
                          <w:sz w:val="20"/>
                          <w:szCs w:val="20"/>
                        </w:rPr>
                        <w:t>10</w:t>
                      </w:r>
                    </w:p>
                  </w:txbxContent>
                </v:textbox>
              </v:rect>
              <v:rect id="_x0000_s1304" style="position:absolute;left:438;top:4787;width:2843;height:230;mso-wrap-style:none" filled="f" stroked="f">
                <v:textbox style="mso-fit-shape-to-text:t" inset="0,0,0,0">
                  <w:txbxContent>
                    <w:p w:rsidR="00533AE8" w:rsidRDefault="00533AE8">
                      <w:r>
                        <w:rPr>
                          <w:color w:val="000000"/>
                          <w:sz w:val="20"/>
                          <w:szCs w:val="20"/>
                        </w:rPr>
                        <w:t xml:space="preserve"> (Consumption &lt;=100 units/month)</w:t>
                      </w:r>
                    </w:p>
                  </w:txbxContent>
                </v:textbox>
              </v:rect>
              <v:rect id="_x0000_s1305" style="position:absolute;left:5128;top:4787;width:245;height:230;mso-wrap-style:none" filled="f" stroked="f">
                <v:textbox style="mso-fit-shape-to-text:t" inset="0,0,0,0">
                  <w:txbxContent>
                    <w:p w:rsidR="00533AE8" w:rsidRDefault="00533AE8">
                      <w:r>
                        <w:rPr>
                          <w:color w:val="000000"/>
                          <w:sz w:val="20"/>
                          <w:szCs w:val="20"/>
                        </w:rPr>
                        <w:t>LT</w:t>
                      </w:r>
                    </w:p>
                  </w:txbxContent>
                </v:textbox>
              </v:rect>
              <v:rect id="_x0000_s1306" style="position:absolute;left:5863;top:4787;width:301;height:230;mso-wrap-style:none" filled="f" stroked="f">
                <v:textbox style="mso-fit-shape-to-text:t" inset="0,0,0,0">
                  <w:txbxContent>
                    <w:p w:rsidR="00533AE8" w:rsidRDefault="00533AE8">
                      <w:r>
                        <w:rPr>
                          <w:color w:val="000000"/>
                          <w:sz w:val="20"/>
                          <w:szCs w:val="20"/>
                        </w:rPr>
                        <w:t>540</w:t>
                      </w:r>
                    </w:p>
                  </w:txbxContent>
                </v:textbox>
              </v:rect>
              <v:rect id="_x0000_s1307" style="position:absolute;left:6919;top:4787;width:201;height:230;mso-wrap-style:none" filled="f" stroked="f">
                <v:textbox style="mso-fit-shape-to-text:t" inset="0,0,0,0">
                  <w:txbxContent>
                    <w:p w:rsidR="00533AE8" w:rsidRDefault="00533AE8">
                      <w:r>
                        <w:rPr>
                          <w:color w:val="000000"/>
                          <w:sz w:val="20"/>
                          <w:szCs w:val="20"/>
                        </w:rPr>
                        <w:t>30</w:t>
                      </w:r>
                    </w:p>
                  </w:txbxContent>
                </v:textbox>
              </v:rect>
              <v:rect id="_x0000_s1308" style="position:absolute;left:7925;top:4787;width:201;height:230;mso-wrap-style:none" filled="f" stroked="f">
                <v:textbox style="mso-fit-shape-to-text:t" inset="0,0,0,0">
                  <w:txbxContent>
                    <w:p w:rsidR="00533AE8" w:rsidRDefault="00533AE8">
                      <w:r>
                        <w:rPr>
                          <w:color w:val="000000"/>
                          <w:sz w:val="20"/>
                          <w:szCs w:val="20"/>
                        </w:rPr>
                        <w:t>30</w:t>
                      </w:r>
                    </w:p>
                  </w:txbxContent>
                </v:textbox>
              </v:rect>
              <v:rect id="_x0000_s1309" style="position:absolute;left:438;top:5044;width:3356;height:230;mso-wrap-style:none" filled="f" stroked="f">
                <v:textbox style="mso-fit-shape-to-text:t" inset="0,0,0,0">
                  <w:txbxContent>
                    <w:p w:rsidR="00533AE8" w:rsidRDefault="00533AE8">
                      <w:r>
                        <w:rPr>
                          <w:color w:val="000000"/>
                          <w:sz w:val="20"/>
                          <w:szCs w:val="20"/>
                        </w:rPr>
                        <w:t xml:space="preserve"> (Consumption &gt;100, &lt;=300 units/month)</w:t>
                      </w:r>
                    </w:p>
                  </w:txbxContent>
                </v:textbox>
              </v:rect>
              <v:rect id="_x0000_s1310" style="position:absolute;left:5128;top:5044;width:245;height:230;mso-wrap-style:none" filled="f" stroked="f">
                <v:textbox style="mso-fit-shape-to-text:t" inset="0,0,0,0">
                  <w:txbxContent>
                    <w:p w:rsidR="00533AE8" w:rsidRDefault="00533AE8">
                      <w:r>
                        <w:rPr>
                          <w:color w:val="000000"/>
                          <w:sz w:val="20"/>
                          <w:szCs w:val="20"/>
                        </w:rPr>
                        <w:t>LT</w:t>
                      </w:r>
                    </w:p>
                  </w:txbxContent>
                </v:textbox>
              </v:rect>
              <v:rect id="_x0000_s1311" style="position:absolute;left:5863;top:5044;width:301;height:230;mso-wrap-style:none" filled="f" stroked="f">
                <v:textbox style="mso-fit-shape-to-text:t" inset="0,0,0,0">
                  <w:txbxContent>
                    <w:p w:rsidR="00533AE8" w:rsidRDefault="00533AE8">
                      <w:r>
                        <w:rPr>
                          <w:color w:val="000000"/>
                          <w:sz w:val="20"/>
                          <w:szCs w:val="20"/>
                        </w:rPr>
                        <w:t>650</w:t>
                      </w:r>
                    </w:p>
                  </w:txbxContent>
                </v:textbox>
              </v:rect>
              <v:rect id="_x0000_s1312" style="position:absolute;left:6919;top:5044;width:201;height:230;mso-wrap-style:none" filled="f" stroked="f">
                <v:textbox style="mso-fit-shape-to-text:t" inset="0,0,0,0">
                  <w:txbxContent>
                    <w:p w:rsidR="00533AE8" w:rsidRDefault="00533AE8">
                      <w:r>
                        <w:rPr>
                          <w:color w:val="000000"/>
                          <w:sz w:val="20"/>
                          <w:szCs w:val="20"/>
                        </w:rPr>
                        <w:t>30</w:t>
                      </w:r>
                    </w:p>
                  </w:txbxContent>
                </v:textbox>
              </v:rect>
              <v:rect id="_x0000_s1313" style="position:absolute;left:7925;top:5044;width:201;height:230;mso-wrap-style:none" filled="f" stroked="f">
                <v:textbox style="mso-fit-shape-to-text:t" inset="0,0,0,0">
                  <w:txbxContent>
                    <w:p w:rsidR="00533AE8" w:rsidRDefault="00533AE8">
                      <w:r>
                        <w:rPr>
                          <w:color w:val="000000"/>
                          <w:sz w:val="20"/>
                          <w:szCs w:val="20"/>
                        </w:rPr>
                        <w:t>30</w:t>
                      </w:r>
                    </w:p>
                  </w:txbxContent>
                </v:textbox>
              </v:rect>
              <v:rect id="_x0000_s1314" style="position:absolute;left:438;top:5300;width:2730;height:230;mso-wrap-style:none" filled="f" stroked="f">
                <v:textbox style="mso-fit-shape-to-text:t" inset="0,0,0,0">
                  <w:txbxContent>
                    <w:p w:rsidR="00533AE8" w:rsidRDefault="00533AE8">
                      <w:r>
                        <w:rPr>
                          <w:color w:val="000000"/>
                          <w:sz w:val="20"/>
                          <w:szCs w:val="20"/>
                        </w:rPr>
                        <w:t xml:space="preserve"> (Consumption &gt;300 units/month)</w:t>
                      </w:r>
                    </w:p>
                  </w:txbxContent>
                </v:textbox>
              </v:rect>
              <v:rect id="_x0000_s1315" style="position:absolute;left:5128;top:5300;width:245;height:230;mso-wrap-style:none" filled="f" stroked="f">
                <v:textbox style="mso-fit-shape-to-text:t" inset="0,0,0,0">
                  <w:txbxContent>
                    <w:p w:rsidR="00533AE8" w:rsidRDefault="00533AE8">
                      <w:r>
                        <w:rPr>
                          <w:color w:val="000000"/>
                          <w:sz w:val="20"/>
                          <w:szCs w:val="20"/>
                        </w:rPr>
                        <w:t>LT</w:t>
                      </w:r>
                    </w:p>
                  </w:txbxContent>
                </v:textbox>
              </v:rect>
              <v:rect id="_x0000_s1316" style="position:absolute;left:5863;top:5300;width:301;height:230;mso-wrap-style:none" filled="f" stroked="f">
                <v:textbox style="mso-fit-shape-to-text:t" inset="0,0,0,0">
                  <w:txbxContent>
                    <w:p w:rsidR="00533AE8" w:rsidRDefault="00533AE8">
                      <w:r>
                        <w:rPr>
                          <w:color w:val="000000"/>
                          <w:sz w:val="20"/>
                          <w:szCs w:val="20"/>
                        </w:rPr>
                        <w:t>710</w:t>
                      </w:r>
                    </w:p>
                  </w:txbxContent>
                </v:textbox>
              </v:rect>
              <v:rect id="_x0000_s1317" style="position:absolute;left:6919;top:5300;width:201;height:230;mso-wrap-style:none" filled="f" stroked="f">
                <v:textbox style="mso-fit-shape-to-text:t" inset="0,0,0,0">
                  <w:txbxContent>
                    <w:p w:rsidR="00533AE8" w:rsidRDefault="00533AE8">
                      <w:r>
                        <w:rPr>
                          <w:color w:val="000000"/>
                          <w:sz w:val="20"/>
                          <w:szCs w:val="20"/>
                        </w:rPr>
                        <w:t>30</w:t>
                      </w:r>
                    </w:p>
                  </w:txbxContent>
                </v:textbox>
              </v:rect>
              <v:rect id="_x0000_s1318" style="position:absolute;left:7925;top:5300;width:201;height:230;mso-wrap-style:none" filled="f" stroked="f">
                <v:textbox style="mso-fit-shape-to-text:t" inset="0,0,0,0">
                  <w:txbxContent>
                    <w:p w:rsidR="00533AE8" w:rsidRDefault="00533AE8">
                      <w:r>
                        <w:rPr>
                          <w:color w:val="000000"/>
                          <w:sz w:val="20"/>
                          <w:szCs w:val="20"/>
                        </w:rPr>
                        <w:t>30</w:t>
                      </w:r>
                    </w:p>
                  </w:txbxContent>
                </v:textbox>
              </v:rect>
              <v:rect id="_x0000_s1319" style="position:absolute;left:166;top:5556;width:101;height:230;mso-wrap-style:none" filled="f" stroked="f">
                <v:textbox style="mso-fit-shape-to-text:t" inset="0,0,0,0">
                  <w:txbxContent>
                    <w:p w:rsidR="00533AE8" w:rsidRDefault="00533AE8">
                      <w:r>
                        <w:rPr>
                          <w:color w:val="000000"/>
                          <w:sz w:val="20"/>
                          <w:szCs w:val="20"/>
                        </w:rPr>
                        <w:t>3</w:t>
                      </w:r>
                    </w:p>
                  </w:txbxContent>
                </v:textbox>
              </v:rect>
              <v:rect id="_x0000_s1320" style="position:absolute;left:438;top:5556;width:2839;height:230;mso-wrap-style:none" filled="f" stroked="f">
                <v:textbox style="mso-fit-shape-to-text:t" inset="0,0,0,0">
                  <w:txbxContent>
                    <w:p w:rsidR="00533AE8" w:rsidRDefault="00533AE8">
                      <w:r>
                        <w:rPr>
                          <w:color w:val="000000"/>
                          <w:sz w:val="20"/>
                          <w:szCs w:val="20"/>
                        </w:rPr>
                        <w:t>Irrigation Pumping and Agriculture</w:t>
                      </w:r>
                    </w:p>
                  </w:txbxContent>
                </v:textbox>
              </v:rect>
              <v:rect id="_x0000_s1321" style="position:absolute;left:5128;top:5556;width:245;height:230;mso-wrap-style:none" filled="f" stroked="f">
                <v:textbox style="mso-fit-shape-to-text:t" inset="0,0,0,0">
                  <w:txbxContent>
                    <w:p w:rsidR="00533AE8" w:rsidRDefault="00533AE8">
                      <w:r>
                        <w:rPr>
                          <w:color w:val="000000"/>
                          <w:sz w:val="20"/>
                          <w:szCs w:val="20"/>
                        </w:rPr>
                        <w:t>LT</w:t>
                      </w:r>
                    </w:p>
                  </w:txbxContent>
                </v:textbox>
              </v:rect>
              <v:rect id="_x0000_s1322" style="position:absolute;left:5863;top:5556;width:301;height:230;mso-wrap-style:none" filled="f" stroked="f">
                <v:textbox style="mso-fit-shape-to-text:t" inset="0,0,0,0">
                  <w:txbxContent>
                    <w:p w:rsidR="00533AE8" w:rsidRDefault="00533AE8">
                      <w:r>
                        <w:rPr>
                          <w:color w:val="000000"/>
                          <w:sz w:val="20"/>
                          <w:szCs w:val="20"/>
                        </w:rPr>
                        <w:t>150</w:t>
                      </w:r>
                    </w:p>
                  </w:txbxContent>
                </v:textbox>
              </v:rect>
              <v:rect id="_x0000_s1323" style="position:absolute;left:6919;top:5556;width:201;height:230;mso-wrap-style:none" filled="f" stroked="f">
                <v:textbox style="mso-fit-shape-to-text:t" inset="0,0,0,0">
                  <w:txbxContent>
                    <w:p w:rsidR="00533AE8" w:rsidRDefault="00533AE8">
                      <w:r>
                        <w:rPr>
                          <w:color w:val="000000"/>
                          <w:sz w:val="20"/>
                          <w:szCs w:val="20"/>
                        </w:rPr>
                        <w:t>20</w:t>
                      </w:r>
                    </w:p>
                  </w:txbxContent>
                </v:textbox>
              </v:rect>
              <v:rect id="_x0000_s1324" style="position:absolute;left:7925;top:5556;width:201;height:230;mso-wrap-style:none" filled="f" stroked="f">
                <v:textbox style="mso-fit-shape-to-text:t" inset="0,0,0,0">
                  <w:txbxContent>
                    <w:p w:rsidR="00533AE8" w:rsidRDefault="00533AE8">
                      <w:r>
                        <w:rPr>
                          <w:color w:val="000000"/>
                          <w:sz w:val="20"/>
                          <w:szCs w:val="20"/>
                        </w:rPr>
                        <w:t>10</w:t>
                      </w:r>
                    </w:p>
                  </w:txbxContent>
                </v:textbox>
              </v:rect>
              <v:rect id="_x0000_s1325" style="position:absolute;left:9049;top:5556;width:201;height:230;mso-wrap-style:none" filled="f" stroked="f">
                <v:textbox style="mso-fit-shape-to-text:t" inset="0,0,0,0">
                  <w:txbxContent>
                    <w:p w:rsidR="00533AE8" w:rsidRDefault="00533AE8">
                      <w:r>
                        <w:rPr>
                          <w:color w:val="000000"/>
                          <w:sz w:val="20"/>
                          <w:szCs w:val="20"/>
                        </w:rPr>
                        <w:t>10</w:t>
                      </w:r>
                    </w:p>
                  </w:txbxContent>
                </v:textbox>
              </v:rect>
              <v:rect id="_x0000_s1326" style="position:absolute;left:166;top:5813;width:101;height:230;mso-wrap-style:none" filled="f" stroked="f">
                <v:textbox style="mso-fit-shape-to-text:t" inset="0,0,0,0">
                  <w:txbxContent>
                    <w:p w:rsidR="00533AE8" w:rsidRDefault="00533AE8">
                      <w:r>
                        <w:rPr>
                          <w:color w:val="000000"/>
                          <w:sz w:val="20"/>
                          <w:szCs w:val="20"/>
                        </w:rPr>
                        <w:t>4</w:t>
                      </w:r>
                    </w:p>
                  </w:txbxContent>
                </v:textbox>
              </v:rect>
              <v:rect id="_x0000_s1327" style="position:absolute;left:438;top:5813;width:2300;height:230;mso-wrap-style:none" filled="f" stroked="f">
                <v:textbox style="mso-fit-shape-to-text:t" inset="0,0,0,0">
                  <w:txbxContent>
                    <w:p w:rsidR="00533AE8" w:rsidRDefault="00533AE8">
                      <w:r>
                        <w:rPr>
                          <w:color w:val="000000"/>
                          <w:sz w:val="20"/>
                          <w:szCs w:val="20"/>
                        </w:rPr>
                        <w:t>Allied Agricultural Activites</w:t>
                      </w:r>
                    </w:p>
                  </w:txbxContent>
                </v:textbox>
              </v:rect>
              <v:rect id="_x0000_s1328" style="position:absolute;left:5128;top:5813;width:245;height:230;mso-wrap-style:none" filled="f" stroked="f">
                <v:textbox style="mso-fit-shape-to-text:t" inset="0,0,0,0">
                  <w:txbxContent>
                    <w:p w:rsidR="00533AE8" w:rsidRDefault="00533AE8">
                      <w:r>
                        <w:rPr>
                          <w:color w:val="000000"/>
                          <w:sz w:val="20"/>
                          <w:szCs w:val="20"/>
                        </w:rPr>
                        <w:t>LT</w:t>
                      </w:r>
                    </w:p>
                  </w:txbxContent>
                </v:textbox>
              </v:rect>
              <v:rect id="_x0000_s1329" style="position:absolute;left:5863;top:5813;width:301;height:230;mso-wrap-style:none" filled="f" stroked="f">
                <v:textbox style="mso-fit-shape-to-text:t" inset="0,0,0,0">
                  <w:txbxContent>
                    <w:p w:rsidR="00533AE8" w:rsidRDefault="00533AE8">
                      <w:r>
                        <w:rPr>
                          <w:color w:val="000000"/>
                          <w:sz w:val="20"/>
                          <w:szCs w:val="20"/>
                        </w:rPr>
                        <w:t>160</w:t>
                      </w:r>
                    </w:p>
                  </w:txbxContent>
                </v:textbox>
              </v:rect>
              <v:rect id="_x0000_s1330" style="position:absolute;left:6919;top:5813;width:201;height:230;mso-wrap-style:none" filled="f" stroked="f">
                <v:textbox style="mso-fit-shape-to-text:t" inset="0,0,0,0">
                  <w:txbxContent>
                    <w:p w:rsidR="00533AE8" w:rsidRDefault="00533AE8">
                      <w:r>
                        <w:rPr>
                          <w:color w:val="000000"/>
                          <w:sz w:val="20"/>
                          <w:szCs w:val="20"/>
                        </w:rPr>
                        <w:t>20</w:t>
                      </w:r>
                    </w:p>
                  </w:txbxContent>
                </v:textbox>
              </v:rect>
              <v:rect id="_x0000_s1331" style="position:absolute;left:7925;top:5813;width:201;height:230;mso-wrap-style:none" filled="f" stroked="f">
                <v:textbox style="mso-fit-shape-to-text:t" inset="0,0,0,0">
                  <w:txbxContent>
                    <w:p w:rsidR="00533AE8" w:rsidRDefault="00533AE8">
                      <w:r>
                        <w:rPr>
                          <w:color w:val="000000"/>
                          <w:sz w:val="20"/>
                          <w:szCs w:val="20"/>
                        </w:rPr>
                        <w:t>10</w:t>
                      </w:r>
                    </w:p>
                  </w:txbxContent>
                </v:textbox>
              </v:rect>
              <v:rect id="_x0000_s1332" style="position:absolute;left:9024;top:5813;width:251;height:230;mso-wrap-style:none" filled="f" stroked="f">
                <v:textbox style="mso-fit-shape-to-text:t" inset="0,0,0,0">
                  <w:txbxContent>
                    <w:p w:rsidR="00533AE8" w:rsidRDefault="00533AE8">
                      <w:r>
                        <w:rPr>
                          <w:color w:val="000000"/>
                          <w:sz w:val="20"/>
                          <w:szCs w:val="20"/>
                        </w:rPr>
                        <w:t>10 </w:t>
                      </w:r>
                    </w:p>
                  </w:txbxContent>
                </v:textbox>
              </v:rect>
              <v:rect id="_x0000_s1333" style="position:absolute;left:166;top:6069;width:101;height:230;mso-wrap-style:none" filled="f" stroked="f">
                <v:textbox style="mso-fit-shape-to-text:t" inset="0,0,0,0">
                  <w:txbxContent>
                    <w:p w:rsidR="00533AE8" w:rsidRDefault="00533AE8">
                      <w:r>
                        <w:rPr>
                          <w:color w:val="000000"/>
                          <w:sz w:val="20"/>
                          <w:szCs w:val="20"/>
                        </w:rPr>
                        <w:t>5</w:t>
                      </w:r>
                    </w:p>
                  </w:txbxContent>
                </v:textbox>
              </v:rect>
              <v:rect id="_x0000_s1334" style="position:absolute;left:438;top:6069;width:2606;height:230;mso-wrap-style:none" filled="f" stroked="f">
                <v:textbox style="mso-fit-shape-to-text:t" inset="0,0,0,0">
                  <w:txbxContent>
                    <w:p w:rsidR="00533AE8" w:rsidRDefault="00533AE8">
                      <w:r>
                        <w:rPr>
                          <w:color w:val="000000"/>
                          <w:sz w:val="20"/>
                          <w:szCs w:val="20"/>
                        </w:rPr>
                        <w:t>Allied Agro Industrial Activities</w:t>
                      </w:r>
                    </w:p>
                  </w:txbxContent>
                </v:textbox>
              </v:rect>
              <v:rect id="_x0000_s1335" style="position:absolute;left:5128;top:6069;width:245;height:230;mso-wrap-style:none" filled="f" stroked="f">
                <v:textbox style="mso-fit-shape-to-text:t" inset="0,0,0,0">
                  <w:txbxContent>
                    <w:p w:rsidR="00533AE8" w:rsidRDefault="00533AE8">
                      <w:r>
                        <w:rPr>
                          <w:color w:val="000000"/>
                          <w:sz w:val="20"/>
                          <w:szCs w:val="20"/>
                        </w:rPr>
                        <w:t>LT</w:t>
                      </w:r>
                    </w:p>
                  </w:txbxContent>
                </v:textbox>
              </v:rect>
              <v:rect id="_x0000_s1336" style="position:absolute;left:5863;top:6069;width:301;height:230;mso-wrap-style:none" filled="f" stroked="f">
                <v:textbox style="mso-fit-shape-to-text:t" inset="0,0,0,0">
                  <w:txbxContent>
                    <w:p w:rsidR="00533AE8" w:rsidRDefault="00533AE8">
                      <w:r>
                        <w:rPr>
                          <w:color w:val="000000"/>
                          <w:sz w:val="20"/>
                          <w:szCs w:val="20"/>
                        </w:rPr>
                        <w:t>420</w:t>
                      </w:r>
                    </w:p>
                  </w:txbxContent>
                </v:textbox>
              </v:rect>
              <v:rect id="_x0000_s1337" style="position:absolute;left:6919;top:6069;width:201;height:230;mso-wrap-style:none" filled="f" stroked="f">
                <v:textbox style="mso-fit-shape-to-text:t" inset="0,0,0,0">
                  <w:txbxContent>
                    <w:p w:rsidR="00533AE8" w:rsidRDefault="00533AE8">
                      <w:r>
                        <w:rPr>
                          <w:color w:val="000000"/>
                          <w:sz w:val="20"/>
                          <w:szCs w:val="20"/>
                        </w:rPr>
                        <w:t>80</w:t>
                      </w:r>
                    </w:p>
                  </w:txbxContent>
                </v:textbox>
              </v:rect>
              <v:rect id="_x0000_s1338" style="position:absolute;left:7925;top:6069;width:201;height:230;mso-wrap-style:none" filled="f" stroked="f">
                <v:textbox style="mso-fit-shape-to-text:t" inset="0,0,0,0">
                  <w:txbxContent>
                    <w:p w:rsidR="00533AE8" w:rsidRDefault="00533AE8">
                      <w:r>
                        <w:rPr>
                          <w:color w:val="000000"/>
                          <w:sz w:val="20"/>
                          <w:szCs w:val="20"/>
                        </w:rPr>
                        <w:t>50</w:t>
                      </w:r>
                    </w:p>
                  </w:txbxContent>
                </v:textbox>
              </v:rect>
              <v:rect id="_x0000_s1339" style="position:absolute;left:8670;top:6069;width:978;height:230;mso-wrap-style:none" filled="f" stroked="f">
                <v:textbox style="mso-fit-shape-to-text:t" inset="0,0,0,0">
                  <w:txbxContent>
                    <w:p w:rsidR="00533AE8" w:rsidRDefault="00533AE8">
                      <w:r>
                        <w:rPr>
                          <w:color w:val="000000"/>
                          <w:sz w:val="20"/>
                          <w:szCs w:val="20"/>
                        </w:rPr>
                        <w:t>DPS/Rebate</w:t>
                      </w:r>
                    </w:p>
                  </w:txbxContent>
                </v:textbox>
              </v:rect>
              <v:rect id="_x0000_s1340" style="position:absolute;left:166;top:6325;width:101;height:230;mso-wrap-style:none" filled="f" stroked="f">
                <v:textbox style="mso-fit-shape-to-text:t" inset="0,0,0,0">
                  <w:txbxContent>
                    <w:p w:rsidR="00533AE8" w:rsidRDefault="00533AE8">
                      <w:r>
                        <w:rPr>
                          <w:color w:val="000000"/>
                          <w:sz w:val="20"/>
                          <w:szCs w:val="20"/>
                        </w:rPr>
                        <w:t>6</w:t>
                      </w:r>
                    </w:p>
                  </w:txbxContent>
                </v:textbox>
              </v:rect>
              <v:rect id="_x0000_s1341" style="position:absolute;left:438;top:6325;width:1251;height:230;mso-wrap-style:none" filled="f" stroked="f">
                <v:textbox style="mso-fit-shape-to-text:t" inset="0,0,0,0">
                  <w:txbxContent>
                    <w:p w:rsidR="00533AE8" w:rsidRDefault="00533AE8">
                      <w:r>
                        <w:rPr>
                          <w:color w:val="000000"/>
                          <w:sz w:val="20"/>
                          <w:szCs w:val="20"/>
                        </w:rPr>
                        <w:t xml:space="preserve">Public Lighting </w:t>
                      </w:r>
                    </w:p>
                  </w:txbxContent>
                </v:textbox>
              </v:rect>
              <v:rect id="_x0000_s1342" style="position:absolute;left:5128;top:6325;width:245;height:230;mso-wrap-style:none" filled="f" stroked="f">
                <v:textbox style="mso-fit-shape-to-text:t" inset="0,0,0,0">
                  <w:txbxContent>
                    <w:p w:rsidR="00533AE8" w:rsidRDefault="00533AE8">
                      <w:r>
                        <w:rPr>
                          <w:color w:val="000000"/>
                          <w:sz w:val="20"/>
                          <w:szCs w:val="20"/>
                        </w:rPr>
                        <w:t>LT</w:t>
                      </w:r>
                    </w:p>
                  </w:txbxContent>
                </v:textbox>
              </v:rect>
              <v:rect id="_x0000_s1343" style="position:absolute;left:5863;top:6325;width:301;height:230;mso-wrap-style:none" filled="f" stroked="f">
                <v:textbox style="mso-fit-shape-to-text:t" inset="0,0,0,0">
                  <w:txbxContent>
                    <w:p w:rsidR="00533AE8" w:rsidRDefault="00533AE8">
                      <w:r>
                        <w:rPr>
                          <w:color w:val="000000"/>
                          <w:sz w:val="20"/>
                          <w:szCs w:val="20"/>
                        </w:rPr>
                        <w:t>570</w:t>
                      </w:r>
                    </w:p>
                  </w:txbxContent>
                </v:textbox>
              </v:rect>
              <v:rect id="_x0000_s1344" style="position:absolute;left:6919;top:6325;width:201;height:230;mso-wrap-style:none" filled="f" stroked="f">
                <v:textbox style="mso-fit-shape-to-text:t" inset="0,0,0,0">
                  <w:txbxContent>
                    <w:p w:rsidR="00533AE8" w:rsidRDefault="00533AE8">
                      <w:r>
                        <w:rPr>
                          <w:color w:val="000000"/>
                          <w:sz w:val="20"/>
                          <w:szCs w:val="20"/>
                        </w:rPr>
                        <w:t>20</w:t>
                      </w:r>
                    </w:p>
                  </w:txbxContent>
                </v:textbox>
              </v:rect>
              <v:rect id="_x0000_s1345" style="position:absolute;left:7925;top:6325;width:201;height:230;mso-wrap-style:none" filled="f" stroked="f">
                <v:textbox style="mso-fit-shape-to-text:t" inset="0,0,0,0">
                  <w:txbxContent>
                    <w:p w:rsidR="00533AE8" w:rsidRDefault="00533AE8">
                      <w:r>
                        <w:rPr>
                          <w:color w:val="000000"/>
                          <w:sz w:val="20"/>
                          <w:szCs w:val="20"/>
                        </w:rPr>
                        <w:t>15</w:t>
                      </w:r>
                    </w:p>
                  </w:txbxContent>
                </v:textbox>
              </v:rect>
              <v:rect id="_x0000_s1346" style="position:absolute;left:8670;top:6325;width:978;height:230;mso-wrap-style:none" filled="f" stroked="f">
                <v:textbox style="mso-fit-shape-to-text:t" inset="0,0,0,0">
                  <w:txbxContent>
                    <w:p w:rsidR="00533AE8" w:rsidRDefault="00533AE8">
                      <w:r>
                        <w:rPr>
                          <w:color w:val="000000"/>
                          <w:sz w:val="20"/>
                          <w:szCs w:val="20"/>
                        </w:rPr>
                        <w:t>DPS/Rebate</w:t>
                      </w:r>
                    </w:p>
                  </w:txbxContent>
                </v:textbox>
              </v:rect>
              <v:rect id="_x0000_s1347" style="position:absolute;left:166;top:6582;width:101;height:230;mso-wrap-style:none" filled="f" stroked="f">
                <v:textbox style="mso-fit-shape-to-text:t" inset="0,0,0,0">
                  <w:txbxContent>
                    <w:p w:rsidR="00533AE8" w:rsidRDefault="00533AE8">
                      <w:r>
                        <w:rPr>
                          <w:color w:val="000000"/>
                          <w:sz w:val="20"/>
                          <w:szCs w:val="20"/>
                        </w:rPr>
                        <w:t>7</w:t>
                      </w:r>
                    </w:p>
                  </w:txbxContent>
                </v:textbox>
              </v:rect>
              <v:rect id="_x0000_s1348" style="position:absolute;left:438;top:6582;width:2073;height:230;mso-wrap-style:none" filled="f" stroked="f">
                <v:textbox style="mso-fit-shape-to-text:t" inset="0,0,0,0">
                  <w:txbxContent>
                    <w:p w:rsidR="00533AE8" w:rsidRDefault="00533AE8">
                      <w:r>
                        <w:rPr>
                          <w:color w:val="000000"/>
                          <w:sz w:val="20"/>
                          <w:szCs w:val="20"/>
                        </w:rPr>
                        <w:t>L.T. Industrial (S) Supply</w:t>
                      </w:r>
                    </w:p>
                  </w:txbxContent>
                </v:textbox>
              </v:rect>
              <v:rect id="_x0000_s1349" style="position:absolute;left:5128;top:6582;width:245;height:230;mso-wrap-style:none" filled="f" stroked="f">
                <v:textbox style="mso-fit-shape-to-text:t" inset="0,0,0,0">
                  <w:txbxContent>
                    <w:p w:rsidR="00533AE8" w:rsidRDefault="00533AE8">
                      <w:r>
                        <w:rPr>
                          <w:color w:val="000000"/>
                          <w:sz w:val="20"/>
                          <w:szCs w:val="20"/>
                        </w:rPr>
                        <w:t>LT</w:t>
                      </w:r>
                    </w:p>
                  </w:txbxContent>
                </v:textbox>
              </v:rect>
              <v:rect id="_x0000_s1350" style="position:absolute;left:5863;top:6582;width:301;height:230;mso-wrap-style:none" filled="f" stroked="f">
                <v:textbox style="mso-fit-shape-to-text:t" inset="0,0,0,0">
                  <w:txbxContent>
                    <w:p w:rsidR="00533AE8" w:rsidRDefault="00533AE8">
                      <w:r>
                        <w:rPr>
                          <w:color w:val="000000"/>
                          <w:sz w:val="20"/>
                          <w:szCs w:val="20"/>
                        </w:rPr>
                        <w:t>570</w:t>
                      </w:r>
                    </w:p>
                  </w:txbxContent>
                </v:textbox>
              </v:rect>
              <v:rect id="_x0000_s1351" style="position:absolute;left:6919;top:6582;width:201;height:230;mso-wrap-style:none" filled="f" stroked="f">
                <v:textbox style="mso-fit-shape-to-text:t" inset="0,0,0,0">
                  <w:txbxContent>
                    <w:p w:rsidR="00533AE8" w:rsidRDefault="00533AE8">
                      <w:r>
                        <w:rPr>
                          <w:color w:val="000000"/>
                          <w:sz w:val="20"/>
                          <w:szCs w:val="20"/>
                        </w:rPr>
                        <w:t>80</w:t>
                      </w:r>
                    </w:p>
                  </w:txbxContent>
                </v:textbox>
              </v:rect>
              <v:rect id="_x0000_s1352" style="position:absolute;left:7925;top:6582;width:201;height:230;mso-wrap-style:none" filled="f" stroked="f">
                <v:textbox style="mso-fit-shape-to-text:t" inset="0,0,0,0">
                  <w:txbxContent>
                    <w:p w:rsidR="00533AE8" w:rsidRDefault="00533AE8">
                      <w:r>
                        <w:rPr>
                          <w:color w:val="000000"/>
                          <w:sz w:val="20"/>
                          <w:szCs w:val="20"/>
                        </w:rPr>
                        <w:t>35</w:t>
                      </w:r>
                    </w:p>
                  </w:txbxContent>
                </v:textbox>
              </v:rect>
              <v:rect id="_x0000_s1353" style="position:absolute;left:9049;top:6582;width:201;height:230;mso-wrap-style:none" filled="f" stroked="f">
                <v:textbox style="mso-fit-shape-to-text:t" inset="0,0,0,0">
                  <w:txbxContent>
                    <w:p w:rsidR="00533AE8" w:rsidRDefault="00533AE8">
                      <w:r>
                        <w:rPr>
                          <w:color w:val="000000"/>
                          <w:sz w:val="20"/>
                          <w:szCs w:val="20"/>
                        </w:rPr>
                        <w:t>10</w:t>
                      </w:r>
                    </w:p>
                  </w:txbxContent>
                </v:textbox>
              </v:rect>
              <v:rect id="_x0000_s1354" style="position:absolute;left:166;top:6838;width:101;height:230;mso-wrap-style:none" filled="f" stroked="f">
                <v:textbox style="mso-fit-shape-to-text:t" inset="0,0,0,0">
                  <w:txbxContent>
                    <w:p w:rsidR="00533AE8" w:rsidRDefault="00533AE8">
                      <w:r>
                        <w:rPr>
                          <w:color w:val="000000"/>
                          <w:sz w:val="20"/>
                          <w:szCs w:val="20"/>
                        </w:rPr>
                        <w:t>8</w:t>
                      </w:r>
                    </w:p>
                  </w:txbxContent>
                </v:textbox>
              </v:rect>
              <v:rect id="_x0000_s1355" style="position:absolute;left:438;top:6838;width:2139;height:230;mso-wrap-style:none" filled="f" stroked="f">
                <v:textbox style="mso-fit-shape-to-text:t" inset="0,0,0,0">
                  <w:txbxContent>
                    <w:p w:rsidR="00533AE8" w:rsidRDefault="00533AE8">
                      <w:r>
                        <w:rPr>
                          <w:color w:val="000000"/>
                          <w:sz w:val="20"/>
                          <w:szCs w:val="20"/>
                        </w:rPr>
                        <w:t>L.T. Industrial (M) Supply</w:t>
                      </w:r>
                    </w:p>
                  </w:txbxContent>
                </v:textbox>
              </v:rect>
              <v:rect id="_x0000_s1356" style="position:absolute;left:5128;top:6838;width:245;height:230;mso-wrap-style:none" filled="f" stroked="f">
                <v:textbox style="mso-fit-shape-to-text:t" inset="0,0,0,0">
                  <w:txbxContent>
                    <w:p w:rsidR="00533AE8" w:rsidRDefault="00533AE8">
                      <w:r>
                        <w:rPr>
                          <w:color w:val="000000"/>
                          <w:sz w:val="20"/>
                          <w:szCs w:val="20"/>
                        </w:rPr>
                        <w:t>LT</w:t>
                      </w:r>
                    </w:p>
                  </w:txbxContent>
                </v:textbox>
              </v:rect>
              <v:rect id="_x0000_s1357" style="position:absolute;left:5863;top:6838;width:301;height:230;mso-wrap-style:none" filled="f" stroked="f">
                <v:textbox style="mso-fit-shape-to-text:t" inset="0,0,0,0">
                  <w:txbxContent>
                    <w:p w:rsidR="00533AE8" w:rsidRDefault="00533AE8">
                      <w:r>
                        <w:rPr>
                          <w:color w:val="000000"/>
                          <w:sz w:val="20"/>
                          <w:szCs w:val="20"/>
                        </w:rPr>
                        <w:t>570</w:t>
                      </w:r>
                    </w:p>
                  </w:txbxContent>
                </v:textbox>
              </v:rect>
              <v:rect id="_x0000_s1358" style="position:absolute;left:6870;top:6838;width:301;height:230;mso-wrap-style:none" filled="f" stroked="f">
                <v:textbox style="mso-fit-shape-to-text:t" inset="0,0,0,0">
                  <w:txbxContent>
                    <w:p w:rsidR="00533AE8" w:rsidRDefault="00533AE8">
                      <w:r>
                        <w:rPr>
                          <w:color w:val="000000"/>
                          <w:sz w:val="20"/>
                          <w:szCs w:val="20"/>
                        </w:rPr>
                        <w:t>100</w:t>
                      </w:r>
                    </w:p>
                  </w:txbxContent>
                </v:textbox>
              </v:rect>
              <v:rect id="_x0000_s1359" style="position:absolute;left:7925;top:6838;width:201;height:230;mso-wrap-style:none" filled="f" stroked="f">
                <v:textbox style="mso-fit-shape-to-text:t" inset="0,0,0,0">
                  <w:txbxContent>
                    <w:p w:rsidR="00533AE8" w:rsidRDefault="00533AE8">
                      <w:r>
                        <w:rPr>
                          <w:color w:val="000000"/>
                          <w:sz w:val="20"/>
                          <w:szCs w:val="20"/>
                        </w:rPr>
                        <w:t>80</w:t>
                      </w:r>
                    </w:p>
                  </w:txbxContent>
                </v:textbox>
              </v:rect>
              <v:rect id="_x0000_s1360" style="position:absolute;left:8670;top:6838;width:978;height:230;mso-wrap-style:none" filled="f" stroked="f">
                <v:textbox style="mso-fit-shape-to-text:t" inset="0,0,0,0">
                  <w:txbxContent>
                    <w:p w:rsidR="00533AE8" w:rsidRDefault="00533AE8">
                      <w:r>
                        <w:rPr>
                          <w:color w:val="000000"/>
                          <w:sz w:val="20"/>
                          <w:szCs w:val="20"/>
                        </w:rPr>
                        <w:t>DPS/Rebate</w:t>
                      </w:r>
                    </w:p>
                  </w:txbxContent>
                </v:textbox>
              </v:rect>
              <v:rect id="_x0000_s1361" style="position:absolute;left:166;top:7094;width:101;height:230;mso-wrap-style:none" filled="f" stroked="f">
                <v:textbox style="mso-fit-shape-to-text:t" inset="0,0,0,0">
                  <w:txbxContent>
                    <w:p w:rsidR="00533AE8" w:rsidRDefault="00533AE8">
                      <w:r>
                        <w:rPr>
                          <w:color w:val="000000"/>
                          <w:sz w:val="20"/>
                          <w:szCs w:val="20"/>
                        </w:rPr>
                        <w:t>9</w:t>
                      </w:r>
                    </w:p>
                  </w:txbxContent>
                </v:textbox>
              </v:rect>
              <v:rect id="_x0000_s1362" style="position:absolute;left:438;top:7094;width:2011;height:230;mso-wrap-style:none" filled="f" stroked="f">
                <v:textbox style="mso-fit-shape-to-text:t" inset="0,0,0,0">
                  <w:txbxContent>
                    <w:p w:rsidR="00533AE8" w:rsidRDefault="00533AE8">
                      <w:r>
                        <w:rPr>
                          <w:color w:val="000000"/>
                          <w:sz w:val="20"/>
                          <w:szCs w:val="20"/>
                        </w:rPr>
                        <w:t xml:space="preserve">Specified Public Purpose </w:t>
                      </w:r>
                    </w:p>
                  </w:txbxContent>
                </v:textbox>
              </v:rect>
              <v:rect id="_x0000_s1363" style="position:absolute;left:5128;top:7094;width:245;height:230;mso-wrap-style:none" filled="f" stroked="f">
                <v:textbox style="mso-fit-shape-to-text:t" inset="0,0,0,0">
                  <w:txbxContent>
                    <w:p w:rsidR="00533AE8" w:rsidRDefault="00533AE8">
                      <w:r>
                        <w:rPr>
                          <w:color w:val="000000"/>
                          <w:sz w:val="20"/>
                          <w:szCs w:val="20"/>
                        </w:rPr>
                        <w:t>LT</w:t>
                      </w:r>
                    </w:p>
                  </w:txbxContent>
                </v:textbox>
              </v:rect>
              <v:rect id="_x0000_s1364" style="position:absolute;left:5863;top:7094;width:301;height:230;mso-wrap-style:none" filled="f" stroked="f">
                <v:textbox style="mso-fit-shape-to-text:t" inset="0,0,0,0">
                  <w:txbxContent>
                    <w:p w:rsidR="00533AE8" w:rsidRDefault="00533AE8">
                      <w:r>
                        <w:rPr>
                          <w:color w:val="000000"/>
                          <w:sz w:val="20"/>
                          <w:szCs w:val="20"/>
                        </w:rPr>
                        <w:t>570</w:t>
                      </w:r>
                    </w:p>
                  </w:txbxContent>
                </v:textbox>
              </v:rect>
              <v:rect id="_x0000_s1365" style="position:absolute;left:6919;top:7094;width:201;height:230;mso-wrap-style:none" filled="f" stroked="f">
                <v:textbox style="mso-fit-shape-to-text:t" inset="0,0,0,0">
                  <w:txbxContent>
                    <w:p w:rsidR="00533AE8" w:rsidRDefault="00533AE8">
                      <w:r>
                        <w:rPr>
                          <w:color w:val="000000"/>
                          <w:sz w:val="20"/>
                          <w:szCs w:val="20"/>
                        </w:rPr>
                        <w:t>50</w:t>
                      </w:r>
                    </w:p>
                  </w:txbxContent>
                </v:textbox>
              </v:rect>
              <v:rect id="_x0000_s1366" style="position:absolute;left:7925;top:7094;width:201;height:230;mso-wrap-style:none" filled="f" stroked="f">
                <v:textbox style="mso-fit-shape-to-text:t" inset="0,0,0,0">
                  <w:txbxContent>
                    <w:p w:rsidR="00533AE8" w:rsidRDefault="00533AE8">
                      <w:r>
                        <w:rPr>
                          <w:color w:val="000000"/>
                          <w:sz w:val="20"/>
                          <w:szCs w:val="20"/>
                        </w:rPr>
                        <w:t>50</w:t>
                      </w:r>
                    </w:p>
                  </w:txbxContent>
                </v:textbox>
              </v:rect>
              <v:rect id="_x0000_s1367" style="position:absolute;left:8670;top:7094;width:978;height:230;mso-wrap-style:none" filled="f" stroked="f">
                <v:textbox style="mso-fit-shape-to-text:t" inset="0,0,0,0">
                  <w:txbxContent>
                    <w:p w:rsidR="00533AE8" w:rsidRDefault="00533AE8">
                      <w:r>
                        <w:rPr>
                          <w:color w:val="000000"/>
                          <w:sz w:val="20"/>
                          <w:szCs w:val="20"/>
                        </w:rPr>
                        <w:t>DPS/Rebate</w:t>
                      </w:r>
                    </w:p>
                  </w:txbxContent>
                </v:textbox>
              </v:rect>
              <v:rect id="_x0000_s1368" style="position:absolute;left:117;top:7610;width:201;height:230;mso-wrap-style:none" filled="f" stroked="f">
                <v:textbox style="mso-fit-shape-to-text:t" inset="0,0,0,0">
                  <w:txbxContent>
                    <w:p w:rsidR="00533AE8" w:rsidRDefault="00533AE8">
                      <w:r>
                        <w:rPr>
                          <w:color w:val="000000"/>
                          <w:sz w:val="20"/>
                          <w:szCs w:val="20"/>
                        </w:rPr>
                        <w:t>10</w:t>
                      </w:r>
                    </w:p>
                  </w:txbxContent>
                </v:textbox>
              </v:rect>
              <v:rect id="_x0000_s1369" style="position:absolute;left:438;top:7610;width:4379;height:230;mso-wrap-style:none" filled="f" stroked="f">
                <v:textbox style="mso-fit-shape-to-text:t" inset="0,0,0,0">
                  <w:txbxContent>
                    <w:p w:rsidR="00533AE8" w:rsidRDefault="00533AE8">
                      <w:r>
                        <w:rPr>
                          <w:color w:val="000000"/>
                          <w:sz w:val="20"/>
                          <w:szCs w:val="20"/>
                        </w:rPr>
                        <w:t>Public Water Works and Swerage Pumping&lt;110 KVA</w:t>
                      </w:r>
                    </w:p>
                  </w:txbxContent>
                </v:textbox>
              </v:rect>
              <v:rect id="_x0000_s1370" style="position:absolute;left:5128;top:7610;width:245;height:230;mso-wrap-style:none" filled="f" stroked="f">
                <v:textbox style="mso-fit-shape-to-text:t" inset="0,0,0,0">
                  <w:txbxContent>
                    <w:p w:rsidR="00533AE8" w:rsidRDefault="00533AE8">
                      <w:r>
                        <w:rPr>
                          <w:color w:val="000000"/>
                          <w:sz w:val="20"/>
                          <w:szCs w:val="20"/>
                        </w:rPr>
                        <w:t>LT</w:t>
                      </w:r>
                    </w:p>
                  </w:txbxContent>
                </v:textbox>
              </v:rect>
              <v:rect id="_x0000_s1371" style="position:absolute;left:5863;top:7610;width:301;height:230;mso-wrap-style:none" filled="f" stroked="f">
                <v:textbox style="mso-fit-shape-to-text:t" inset="0,0,0,0">
                  <w:txbxContent>
                    <w:p w:rsidR="00533AE8" w:rsidRDefault="00533AE8">
                      <w:r>
                        <w:rPr>
                          <w:color w:val="000000"/>
                          <w:sz w:val="20"/>
                          <w:szCs w:val="20"/>
                        </w:rPr>
                        <w:t>570</w:t>
                      </w:r>
                    </w:p>
                  </w:txbxContent>
                </v:textbox>
              </v:rect>
              <v:rect id="_x0000_s1372" style="position:absolute;left:6919;top:7610;width:201;height:230;mso-wrap-style:none" filled="f" stroked="f">
                <v:textbox style="mso-fit-shape-to-text:t" inset="0,0,0,0">
                  <w:txbxContent>
                    <w:p w:rsidR="00533AE8" w:rsidRDefault="00533AE8">
                      <w:r>
                        <w:rPr>
                          <w:color w:val="000000"/>
                          <w:sz w:val="20"/>
                          <w:szCs w:val="20"/>
                        </w:rPr>
                        <w:t>50</w:t>
                      </w:r>
                    </w:p>
                  </w:txbxContent>
                </v:textbox>
              </v:rect>
              <v:rect id="_x0000_s1373" style="position:absolute;left:7925;top:7610;width:201;height:230;mso-wrap-style:none" filled="f" stroked="f">
                <v:textbox style="mso-fit-shape-to-text:t" inset="0,0,0,0">
                  <w:txbxContent>
                    <w:p w:rsidR="00533AE8" w:rsidRDefault="00533AE8">
                      <w:r>
                        <w:rPr>
                          <w:color w:val="000000"/>
                          <w:sz w:val="20"/>
                          <w:szCs w:val="20"/>
                        </w:rPr>
                        <w:t>50</w:t>
                      </w:r>
                    </w:p>
                  </w:txbxContent>
                </v:textbox>
              </v:rect>
              <v:rect id="_x0000_s1374" style="position:absolute;left:9049;top:7610;width:201;height:230;mso-wrap-style:none" filled="f" stroked="f">
                <v:textbox style="mso-fit-shape-to-text:t" inset="0,0,0,0">
                  <w:txbxContent>
                    <w:p w:rsidR="00533AE8" w:rsidRDefault="00533AE8">
                      <w:r>
                        <w:rPr>
                          <w:color w:val="000000"/>
                          <w:sz w:val="20"/>
                          <w:szCs w:val="20"/>
                        </w:rPr>
                        <w:t>10</w:t>
                      </w:r>
                    </w:p>
                  </w:txbxContent>
                </v:textbox>
              </v:rect>
              <v:rect id="_x0000_s1375" style="position:absolute;left:990;top:28;width:8568;height:345;mso-wrap-style:none" filled="f" stroked="f">
                <v:textbox style="mso-fit-shape-to-text:t" inset="0,0,0,0">
                  <w:txbxContent>
                    <w:p w:rsidR="00533AE8" w:rsidRDefault="00533AE8">
                      <w:r>
                        <w:rPr>
                          <w:b/>
                          <w:bCs/>
                          <w:color w:val="000000"/>
                          <w:sz w:val="30"/>
                          <w:szCs w:val="30"/>
                        </w:rPr>
                        <w:t>RETAIL SUPPLY TARIFF EFFECTIVE FROM 1st APRIL, 2018</w:t>
                      </w:r>
                    </w:p>
                  </w:txbxContent>
                </v:textbox>
              </v:rect>
              <v:rect id="_x0000_s1376" style="position:absolute;left:438;top:2478;width:1106;height:230;mso-wrap-style:none" filled="f" stroked="f">
                <v:textbox style="mso-fit-shape-to-text:t" inset="0,0,0,0">
                  <w:txbxContent>
                    <w:p w:rsidR="00533AE8" w:rsidRDefault="00533AE8">
                      <w:r>
                        <w:rPr>
                          <w:b/>
                          <w:bCs/>
                          <w:color w:val="000000"/>
                          <w:sz w:val="20"/>
                          <w:szCs w:val="20"/>
                        </w:rPr>
                        <w:t>LT Category</w:t>
                      </w:r>
                    </w:p>
                  </w:txbxContent>
                </v:textbox>
              </v:rect>
              <v:rect id="_x0000_s1377" style="position:absolute;left:5533;top:2991;width:109;height:276;mso-wrap-style:none" filled="f" stroked="f">
                <v:textbox style="mso-fit-shape-to-text:t" inset="0,0,0,0">
                  <w:txbxContent>
                    <w:p w:rsidR="00533AE8" w:rsidRDefault="00533AE8"/>
                  </w:txbxContent>
                </v:textbox>
              </v:rect>
              <v:rect id="_x0000_s1378" style="position:absolute;left:4509;top:2164;width:1272;height:299;mso-wrap-style:none" filled="f" stroked="f">
                <v:textbox style="mso-fit-shape-to-text:t" inset="0,0,0,0">
                  <w:txbxContent>
                    <w:p w:rsidR="00533AE8" w:rsidRDefault="00533AE8">
                      <w:r>
                        <w:rPr>
                          <w:b/>
                          <w:bCs/>
                          <w:color w:val="000000"/>
                          <w:sz w:val="26"/>
                          <w:szCs w:val="26"/>
                        </w:rPr>
                        <w:t>EXISTING</w:t>
                      </w:r>
                    </w:p>
                  </w:txbxContent>
                </v:textbox>
              </v:rect>
              <v:rect id="_x0000_s1379" style="position:absolute;left:4509;top:2423;width:1145;height:25" fillcolor="black" stroked="f"/>
              <v:rect id="_x0000_s1380" style="position:absolute;left:-9;top:-10;width:37;height:410" fillcolor="black" stroked="f"/>
              <v:rect id="_x0000_s1381" style="position:absolute;left:9740;top:30;width:38;height:370" fillcolor="black" stroked="f"/>
              <v:line id="_x0000_s1382" style="position:absolute" from="4968,400" to="4969,2131" strokeweight="0"/>
              <v:rect id="_x0000_s1383" style="position:absolute;left:4968;top:400;width:19;height:1731" fillcolor="black" stroked="f"/>
              <v:line id="_x0000_s1384" style="position:absolute" from="5488,400" to="5489,2131" strokeweight="0"/>
              <v:rect id="_x0000_s1385" style="position:absolute;left:5488;top:400;width:19;height:1731" fillcolor="black" stroked="f"/>
              <v:line id="_x0000_s1386" style="position:absolute" from="6495,400" to="6496,2131" strokeweight="0"/>
              <v:rect id="_x0000_s1387" style="position:absolute;left:6495;top:400;width:19;height:1731" fillcolor="black" stroked="f"/>
              <v:line id="_x0000_s1388" style="position:absolute" from="7502,400" to="7503,2131" strokeweight="0"/>
              <v:rect id="_x0000_s1389" style="position:absolute;left:7502;top:400;width:18;height:1731" fillcolor="black" stroked="f"/>
              <v:line id="_x0000_s1390" style="position:absolute" from="8508,400" to="8509,2131" strokeweight="0"/>
              <v:rect id="_x0000_s1391" style="position:absolute;left:8508;top:400;width:19;height:1731" fillcolor="black" stroked="f"/>
              <v:line id="_x0000_s1392" style="position:absolute" from="0,400" to="1,7866" strokeweight="0"/>
              <v:rect id="_x0000_s1393" style="position:absolute;top:400;width:19;height:7466" fillcolor="black" stroked="f"/>
              <v:line id="_x0000_s1394" style="position:absolute" from="9749,400" to="9750,7866" strokeweight="0"/>
              <v:rect id="_x0000_s1395" style="position:absolute;left:9749;top:400;width:19;height:7466" fillcolor="black" stroked="f"/>
              <v:line id="_x0000_s1396" style="position:absolute" from="393,400" to="394,7866" strokeweight="0"/>
              <v:rect id="_x0000_s1397" style="position:absolute;left:393;top:400;width:19;height:7466" fillcolor="black" stroked="f"/>
              <v:line id="_x0000_s1398" style="position:absolute" from="4968,2737" to="4969,7866" strokeweight="0"/>
              <v:rect id="_x0000_s1399" style="position:absolute;left:4968;top:2737;width:19;height:5129" fillcolor="black" stroked="f"/>
              <v:line id="_x0000_s1400" style="position:absolute" from="5488,2737" to="5489,7866" strokeweight="0"/>
              <v:rect id="_x0000_s1401" style="position:absolute;left:5488;top:2737;width:19;height:5129" fillcolor="black" stroked="f"/>
              <v:line id="_x0000_s1402" style="position:absolute" from="6495,2737" to="6496,7866" strokeweight="0"/>
              <v:rect id="_x0000_s1403" style="position:absolute;left:6495;top:2737;width:19;height:5129" fillcolor="black" stroked="f"/>
              <v:line id="_x0000_s1404" style="position:absolute" from="7502,2737" to="7503,7866" strokeweight="0"/>
              <v:rect id="_x0000_s1405" style="position:absolute;left:7502;top:2737;width:18;height:5129" fillcolor="black" stroked="f"/>
              <v:line id="_x0000_s1406" style="position:absolute" from="8508,2737" to="8509,7866" strokeweight="0"/>
              <v:rect id="_x0000_s1407" style="position:absolute;left:8508;top:2737;width:19;height:5129" fillcolor="black" stroked="f"/>
              <v:rect id="_x0000_s1408" style="position:absolute;left:28;top:-10;width:9750;height:40" fillcolor="black" stroked="f"/>
              <v:line id="_x0000_s1409" style="position:absolute" from="28,379" to="9740,380" strokeweight="0"/>
              <v:rect id="_x0000_s1410" style="position:absolute;left:28;top:379;width:9712;height:21" fillcolor="black" stroked="f"/>
              <v:line id="_x0000_s1411" style="position:absolute" from="19,2111" to="9768,2112" strokeweight="0"/>
              <v:rect id="_x0000_s1412" style="position:absolute;left:19;top:2111;width:9749;height:20" fillcolor="black" stroked="f"/>
              <v:line id="_x0000_s1413" style="position:absolute" from="19,2460" to="9768,2461" strokeweight="0"/>
              <v:rect id="_x0000_s1414" style="position:absolute;left:19;top:2460;width:9749;height:20" fillcolor="black" stroked="f"/>
              <v:line id="_x0000_s1415" style="position:absolute" from="19,2717" to="9768,2718" strokeweight="0"/>
              <v:rect id="_x0000_s1416" style="position:absolute;left:19;top:2717;width:9749;height:20" fillcolor="black" stroked="f"/>
              <v:line id="_x0000_s1417" style="position:absolute" from="19,2973" to="9768,2974" strokeweight="0"/>
              <v:rect id="_x0000_s1418" style="position:absolute;left:19;top:2973;width:9749;height:20" fillcolor="black" stroked="f"/>
              <v:line id="_x0000_s1419" style="position:absolute" from="19,3229" to="9768,3230" strokeweight="0"/>
              <v:rect id="_x0000_s1420" style="position:absolute;left:19;top:3229;width:9749;height:20" fillcolor="black" stroked="f"/>
              <v:line id="_x0000_s1421" style="position:absolute" from="19,3486" to="9768,3487" strokeweight="0"/>
              <v:rect id="_x0000_s1422" style="position:absolute;left:19;top:3486;width:9749;height:20" fillcolor="black" stroked="f"/>
              <v:line id="_x0000_s1423" style="position:absolute" from="19,3742" to="9768,3743" strokeweight="0"/>
              <v:rect id="_x0000_s1424" style="position:absolute;left:19;top:3742;width:9749;height:20" fillcolor="black" stroked="f"/>
              <v:line id="_x0000_s1425" style="position:absolute" from="19,3998" to="9768,3999" strokeweight="0"/>
              <v:rect id="_x0000_s1426" style="position:absolute;left:19;top:3998;width:9749;height:20" fillcolor="black" stroked="f"/>
              <v:line id="_x0000_s1427" style="position:absolute" from="19,4255" to="9768,4256" strokeweight="0"/>
              <v:rect id="_x0000_s1428" style="position:absolute;left:19;top:4255;width:9749;height:20" fillcolor="black" stroked="f"/>
              <v:line id="_x0000_s1429" style="position:absolute" from="19,4511" to="9768,4512" strokeweight="0"/>
              <v:rect id="_x0000_s1430" style="position:absolute;left:19;top:4511;width:9749;height:20" fillcolor="black" stroked="f"/>
              <v:line id="_x0000_s1431" style="position:absolute" from="19,4767" to="9768,4768" strokeweight="0"/>
              <v:rect id="_x0000_s1432" style="position:absolute;left:19;top:4767;width:9749;height:20" fillcolor="black" stroked="f"/>
              <v:line id="_x0000_s1433" style="position:absolute" from="19,5024" to="9768,5025" strokeweight="0"/>
              <v:rect id="_x0000_s1434" style="position:absolute;left:19;top:5024;width:9749;height:20" fillcolor="black" stroked="f"/>
              <v:line id="_x0000_s1435" style="position:absolute" from="19,5280" to="9768,5281" strokeweight="0"/>
              <v:rect id="_x0000_s1436" style="position:absolute;left:19;top:5280;width:9749;height:20" fillcolor="black" stroked="f"/>
              <v:line id="_x0000_s1437" style="position:absolute" from="19,5536" to="9768,5537" strokeweight="0"/>
              <v:rect id="_x0000_s1438" style="position:absolute;left:19;top:5536;width:9749;height:20" fillcolor="black" stroked="f"/>
              <v:line id="_x0000_s1439" style="position:absolute" from="19,5793" to="9768,5794" strokeweight="0"/>
              <v:rect id="_x0000_s1440" style="position:absolute;left:19;top:5793;width:9749;height:20" fillcolor="black" stroked="f"/>
              <v:line id="_x0000_s1441" style="position:absolute" from="19,6049" to="9768,6050" strokeweight="0"/>
              <v:rect id="_x0000_s1442" style="position:absolute;left:19;top:6049;width:9749;height:20" fillcolor="black" stroked="f"/>
              <v:line id="_x0000_s1443" style="position:absolute" from="19,6305" to="9768,6306" strokeweight="0"/>
            </v:group>
            <v:rect id="_x0000_s1445" style="position:absolute;left:19;top:6305;width:9749;height:20" fillcolor="black" stroked="f"/>
            <v:line id="_x0000_s1446" style="position:absolute" from="19,6562" to="9768,6563" strokeweight="0"/>
            <v:rect id="_x0000_s1447" style="position:absolute;left:19;top:6562;width:9749;height:20" fillcolor="black" stroked="f"/>
            <v:line id="_x0000_s1448" style="position:absolute" from="19,6818" to="9768,6819" strokeweight="0"/>
            <v:rect id="_x0000_s1449" style="position:absolute;left:19;top:6818;width:9749;height:20" fillcolor="black" stroked="f"/>
            <v:line id="_x0000_s1450" style="position:absolute" from="19,7074" to="9768,7075" strokeweight="0"/>
            <v:rect id="_x0000_s1451" style="position:absolute;left:19;top:7074;width:9749;height:20" fillcolor="black" stroked="f"/>
            <v:line id="_x0000_s1452" style="position:absolute" from="19,7331" to="9768,7332" strokeweight="0"/>
            <v:rect id="_x0000_s1453" style="position:absolute;left:19;top:7331;width:9749;height:20" fillcolor="black" stroked="f"/>
            <v:line id="_x0000_s1454" style="position:absolute" from="19,7846" to="9768,7847" strokeweight="0"/>
            <v:rect id="_x0000_s1455" style="position:absolute;left:19;top:7846;width:9749;height:20" fillcolor="black" stroked="f"/>
            <w10:wrap type="none"/>
            <w10:anchorlock/>
          </v:group>
        </w:pict>
      </w:r>
    </w:p>
    <w:p w:rsidR="008A2D44" w:rsidRPr="00453961" w:rsidRDefault="00684221" w:rsidP="00C27D09">
      <w:pPr>
        <w:spacing w:line="360" w:lineRule="auto"/>
        <w:jc w:val="both"/>
        <w:rPr>
          <w:rFonts w:asciiTheme="majorHAnsi" w:hAnsiTheme="majorHAnsi" w:cs="Arial"/>
        </w:rPr>
      </w:pPr>
      <w:r w:rsidRPr="00453961">
        <w:rPr>
          <w:rFonts w:asciiTheme="majorHAnsi" w:hAnsiTheme="majorHAnsi" w:cs="Arial"/>
        </w:rPr>
        <w:t>In view of the above it is humbly submitted that the MMFC for all the LT category of consumers may kindly be rationalized with single rate for 1</w:t>
      </w:r>
      <w:r w:rsidRPr="00453961">
        <w:rPr>
          <w:rFonts w:asciiTheme="majorHAnsi" w:hAnsiTheme="majorHAnsi" w:cs="Arial"/>
          <w:vertAlign w:val="superscript"/>
        </w:rPr>
        <w:t>st</w:t>
      </w:r>
      <w:r w:rsidRPr="00453961">
        <w:rPr>
          <w:rFonts w:asciiTheme="majorHAnsi" w:hAnsiTheme="majorHAnsi" w:cs="Arial"/>
        </w:rPr>
        <w:t xml:space="preserve"> kw or part thereof as well as additional kw or part thereof.</w:t>
      </w:r>
      <w:r w:rsidR="00397417" w:rsidRPr="00453961">
        <w:rPr>
          <w:rFonts w:asciiTheme="majorHAnsi" w:hAnsiTheme="majorHAnsi" w:cs="Arial"/>
        </w:rPr>
        <w:t xml:space="preserve"> The proposed table is given below:-</w:t>
      </w:r>
    </w:p>
    <w:p w:rsidR="00397417" w:rsidRDefault="007852C3" w:rsidP="00C27D09">
      <w:pPr>
        <w:spacing w:line="360" w:lineRule="auto"/>
        <w:jc w:val="both"/>
        <w:rPr>
          <w:rFonts w:asciiTheme="majorHAnsi" w:hAnsiTheme="majorHAnsi" w:cs="Arial"/>
        </w:rPr>
      </w:pPr>
      <w:r w:rsidRPr="00453961">
        <w:rPr>
          <w:noProof/>
        </w:rPr>
        <w:lastRenderedPageBreak/>
        <w:drawing>
          <wp:inline distT="0" distB="0" distL="0" distR="0">
            <wp:extent cx="6115050" cy="4648200"/>
            <wp:effectExtent l="1905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115050" cy="4648200"/>
                    </a:xfrm>
                    <a:prstGeom prst="rect">
                      <a:avLst/>
                    </a:prstGeom>
                    <a:noFill/>
                    <a:ln w="9525">
                      <a:noFill/>
                      <a:miter lim="800000"/>
                      <a:headEnd/>
                      <a:tailEnd/>
                    </a:ln>
                  </pic:spPr>
                </pic:pic>
              </a:graphicData>
            </a:graphic>
          </wp:inline>
        </w:drawing>
      </w:r>
    </w:p>
    <w:p w:rsidR="0037527F" w:rsidRPr="00C27D09" w:rsidRDefault="0037527F" w:rsidP="00C27D09">
      <w:pPr>
        <w:spacing w:line="360" w:lineRule="auto"/>
        <w:jc w:val="both"/>
        <w:rPr>
          <w:rFonts w:asciiTheme="majorHAnsi" w:hAnsiTheme="majorHAnsi" w:cs="Arial"/>
        </w:rPr>
      </w:pPr>
      <w:r>
        <w:rPr>
          <w:rFonts w:asciiTheme="majorHAnsi" w:hAnsiTheme="majorHAnsi" w:cs="Arial"/>
        </w:rPr>
        <w:t>There will be increase in revenue of Rs.3.80 crs on account of above.</w:t>
      </w:r>
    </w:p>
    <w:p w:rsidR="00CC6041" w:rsidRDefault="00CC6041" w:rsidP="006935E2">
      <w:pPr>
        <w:pStyle w:val="Heading1"/>
        <w:numPr>
          <w:ilvl w:val="1"/>
          <w:numId w:val="13"/>
        </w:numPr>
        <w:spacing w:line="360" w:lineRule="auto"/>
        <w:jc w:val="both"/>
        <w:rPr>
          <w:rFonts w:ascii="Cambria" w:hAnsi="Cambria"/>
          <w:sz w:val="24"/>
          <w:szCs w:val="24"/>
        </w:rPr>
      </w:pPr>
      <w:bookmarkStart w:id="81" w:name="_Toc25850966"/>
      <w:r w:rsidRPr="00B35DBA">
        <w:rPr>
          <w:rFonts w:ascii="Cambria" w:hAnsi="Cambria"/>
          <w:sz w:val="24"/>
          <w:szCs w:val="24"/>
        </w:rPr>
        <w:t>L.F.</w:t>
      </w:r>
      <w:r w:rsidRPr="00CC6041">
        <w:rPr>
          <w:rFonts w:ascii="Cambria" w:hAnsi="Cambria"/>
          <w:sz w:val="24"/>
          <w:szCs w:val="24"/>
        </w:rPr>
        <w:t xml:space="preserve"> Billing to Irrigation Category of Consumers</w:t>
      </w:r>
      <w:bookmarkEnd w:id="81"/>
    </w:p>
    <w:p w:rsidR="00E74675" w:rsidRPr="00724795" w:rsidRDefault="00E74675" w:rsidP="00724795">
      <w:pPr>
        <w:spacing w:line="360" w:lineRule="auto"/>
        <w:jc w:val="both"/>
        <w:rPr>
          <w:rFonts w:ascii="Cambria" w:hAnsi="Cambria" w:cs="Arial"/>
          <w:b/>
        </w:rPr>
      </w:pPr>
      <w:r w:rsidRPr="00CD7A62">
        <w:rPr>
          <w:rFonts w:ascii="Cambria" w:hAnsi="Cambria" w:cs="Arial"/>
        </w:rPr>
        <w:t xml:space="preserve">Presently due to difficulty in putting meters in case of irrigation category of consumers billing is not possible in most of the cases. </w:t>
      </w:r>
      <w:r w:rsidR="00BC3FD8" w:rsidRPr="00CD7A62">
        <w:rPr>
          <w:rFonts w:ascii="Cambria" w:hAnsi="Cambria" w:cs="Arial"/>
        </w:rPr>
        <w:t>Replacement of defective meters is</w:t>
      </w:r>
      <w:r w:rsidRPr="00CD7A62">
        <w:rPr>
          <w:rFonts w:ascii="Cambria" w:hAnsi="Cambria" w:cs="Arial"/>
        </w:rPr>
        <w:t xml:space="preserve"> also not possible due to inaccessibility. </w:t>
      </w:r>
      <w:r w:rsidRPr="00724795">
        <w:rPr>
          <w:rFonts w:ascii="Cambria" w:hAnsi="Cambria" w:cs="Arial"/>
          <w:b/>
        </w:rPr>
        <w:t>In view of the same the licensee m</w:t>
      </w:r>
      <w:r w:rsidR="003D4477" w:rsidRPr="00724795">
        <w:rPr>
          <w:rFonts w:ascii="Cambria" w:hAnsi="Cambria" w:cs="Arial"/>
          <w:b/>
        </w:rPr>
        <w:t>a</w:t>
      </w:r>
      <w:r w:rsidRPr="00724795">
        <w:rPr>
          <w:rFonts w:ascii="Cambria" w:hAnsi="Cambria" w:cs="Arial"/>
          <w:b/>
        </w:rPr>
        <w:t>y be permitted to bill such category of consumers on L.F. basis with L.F. of 30% considering their pump capacity.</w:t>
      </w:r>
    </w:p>
    <w:p w:rsidR="00AB72B7" w:rsidRDefault="002B5E1E" w:rsidP="006935E2">
      <w:pPr>
        <w:pStyle w:val="Heading1"/>
        <w:numPr>
          <w:ilvl w:val="1"/>
          <w:numId w:val="13"/>
        </w:numPr>
        <w:spacing w:line="360" w:lineRule="auto"/>
        <w:jc w:val="both"/>
        <w:rPr>
          <w:rFonts w:ascii="Cambria" w:hAnsi="Cambria"/>
          <w:sz w:val="24"/>
          <w:szCs w:val="24"/>
        </w:rPr>
      </w:pPr>
      <w:bookmarkStart w:id="82" w:name="_Toc25850967"/>
      <w:r>
        <w:rPr>
          <w:rFonts w:ascii="Cambria" w:hAnsi="Cambria"/>
          <w:sz w:val="24"/>
          <w:szCs w:val="24"/>
        </w:rPr>
        <w:t>Additional Rebate of 2</w:t>
      </w:r>
      <w:r w:rsidR="00AB72B7" w:rsidRPr="00AB72B7">
        <w:rPr>
          <w:rFonts w:ascii="Cambria" w:hAnsi="Cambria"/>
          <w:sz w:val="24"/>
          <w:szCs w:val="24"/>
        </w:rPr>
        <w:t xml:space="preserve">% to LT </w:t>
      </w:r>
      <w:r w:rsidR="0002196E">
        <w:rPr>
          <w:rFonts w:ascii="Cambria" w:hAnsi="Cambria"/>
          <w:sz w:val="24"/>
          <w:szCs w:val="24"/>
        </w:rPr>
        <w:t xml:space="preserve">Domestic </w:t>
      </w:r>
      <w:r w:rsidR="00AB72B7" w:rsidRPr="00AB72B7">
        <w:rPr>
          <w:rFonts w:ascii="Cambria" w:hAnsi="Cambria"/>
          <w:sz w:val="24"/>
          <w:szCs w:val="24"/>
        </w:rPr>
        <w:t>category of Consumers</w:t>
      </w:r>
      <w:bookmarkEnd w:id="82"/>
    </w:p>
    <w:p w:rsidR="00422414" w:rsidRPr="00CD7A62" w:rsidRDefault="0002196E" w:rsidP="00422414">
      <w:pPr>
        <w:pStyle w:val="NoSpacing"/>
        <w:spacing w:line="360" w:lineRule="auto"/>
        <w:jc w:val="both"/>
        <w:rPr>
          <w:rFonts w:ascii="Cambria" w:eastAsia="Times New Roman" w:hAnsi="Cambria" w:cs="Arial"/>
          <w:sz w:val="24"/>
          <w:szCs w:val="24"/>
          <w:lang w:val="en-US"/>
        </w:rPr>
      </w:pPr>
      <w:r>
        <w:rPr>
          <w:rFonts w:ascii="Cambria" w:eastAsia="Times New Roman" w:hAnsi="Cambria" w:cs="Arial"/>
          <w:sz w:val="24"/>
          <w:szCs w:val="24"/>
          <w:lang w:val="en-US"/>
        </w:rPr>
        <w:t>Hon’ble Comm</w:t>
      </w:r>
      <w:r w:rsidR="00422414">
        <w:rPr>
          <w:rFonts w:ascii="Cambria" w:eastAsia="Times New Roman" w:hAnsi="Cambria" w:cs="Arial"/>
          <w:sz w:val="24"/>
          <w:szCs w:val="24"/>
          <w:lang w:val="en-US"/>
        </w:rPr>
        <w:t>i</w:t>
      </w:r>
      <w:r w:rsidR="002B5E1E">
        <w:rPr>
          <w:rFonts w:ascii="Cambria" w:eastAsia="Times New Roman" w:hAnsi="Cambria" w:cs="Arial"/>
          <w:sz w:val="24"/>
          <w:szCs w:val="24"/>
          <w:lang w:val="en-US"/>
        </w:rPr>
        <w:t>ssion has allowed rebate of 2</w:t>
      </w:r>
      <w:r>
        <w:rPr>
          <w:rFonts w:ascii="Cambria" w:eastAsia="Times New Roman" w:hAnsi="Cambria" w:cs="Arial"/>
          <w:sz w:val="24"/>
          <w:szCs w:val="24"/>
          <w:lang w:val="en-US"/>
        </w:rPr>
        <w:t>% additional rebate towards digital payment for LT category of consumers. The intention was to promote cash less transaction to avoid pressure on currency notes which is also saving the time of the consumers for depositing cash in various cash collection centers.</w:t>
      </w:r>
      <w:r w:rsidR="00422414">
        <w:rPr>
          <w:rFonts w:ascii="Cambria" w:eastAsia="Times New Roman" w:hAnsi="Cambria" w:cs="Arial"/>
          <w:sz w:val="24"/>
          <w:szCs w:val="24"/>
          <w:lang w:val="en-US"/>
        </w:rPr>
        <w:t>. So, the licensee is intended to continue with the same for the ensuing year. Ther</w:t>
      </w:r>
      <w:r w:rsidR="002B5E1E">
        <w:rPr>
          <w:rFonts w:ascii="Cambria" w:eastAsia="Times New Roman" w:hAnsi="Cambria" w:cs="Arial"/>
          <w:sz w:val="24"/>
          <w:szCs w:val="24"/>
          <w:lang w:val="en-US"/>
        </w:rPr>
        <w:t>efore the additional rebate of 2</w:t>
      </w:r>
      <w:r w:rsidR="00422414">
        <w:rPr>
          <w:rFonts w:ascii="Cambria" w:eastAsia="Times New Roman" w:hAnsi="Cambria" w:cs="Arial"/>
          <w:sz w:val="24"/>
          <w:szCs w:val="24"/>
          <w:lang w:val="en-US"/>
        </w:rPr>
        <w:t xml:space="preserve">% in addition to normal </w:t>
      </w:r>
      <w:r w:rsidR="00422414">
        <w:rPr>
          <w:rFonts w:ascii="Cambria" w:eastAsia="Times New Roman" w:hAnsi="Cambria" w:cs="Arial"/>
          <w:sz w:val="24"/>
          <w:szCs w:val="24"/>
          <w:lang w:val="en-US"/>
        </w:rPr>
        <w:lastRenderedPageBreak/>
        <w:t xml:space="preserve">rebate as applicable may be considered for </w:t>
      </w:r>
      <w:r w:rsidR="00422414" w:rsidRPr="00ED35F4">
        <w:rPr>
          <w:rFonts w:ascii="Cambria" w:eastAsia="Times New Roman" w:hAnsi="Cambria" w:cs="Arial"/>
          <w:b/>
          <w:sz w:val="24"/>
          <w:szCs w:val="24"/>
          <w:lang w:val="en-US"/>
        </w:rPr>
        <w:t>LT Domestic &amp; Kutirjyoti category of consumers who shall make payment through digital mode only</w:t>
      </w:r>
      <w:r w:rsidR="00422414">
        <w:rPr>
          <w:rFonts w:ascii="Cambria" w:eastAsia="Times New Roman" w:hAnsi="Cambria" w:cs="Arial"/>
          <w:sz w:val="24"/>
          <w:szCs w:val="24"/>
          <w:lang w:val="en-US"/>
        </w:rPr>
        <w:t>.</w:t>
      </w:r>
    </w:p>
    <w:p w:rsidR="00E568C5" w:rsidRPr="00E568C5" w:rsidRDefault="00AB72B7" w:rsidP="002B5826">
      <w:pPr>
        <w:pStyle w:val="NoSpacing"/>
        <w:spacing w:line="360" w:lineRule="auto"/>
        <w:jc w:val="both"/>
      </w:pPr>
      <w:r w:rsidRPr="00CD7A62">
        <w:rPr>
          <w:rFonts w:ascii="Cambria" w:eastAsia="Times New Roman" w:hAnsi="Cambria" w:cs="Arial"/>
          <w:sz w:val="24"/>
          <w:szCs w:val="24"/>
          <w:lang w:val="en-US"/>
        </w:rPr>
        <w:t xml:space="preserve"> </w:t>
      </w:r>
    </w:p>
    <w:p w:rsidR="009E0A9B" w:rsidRPr="00BF0E9D" w:rsidRDefault="00264B52" w:rsidP="006935E2">
      <w:pPr>
        <w:pStyle w:val="Heading1"/>
        <w:numPr>
          <w:ilvl w:val="1"/>
          <w:numId w:val="13"/>
        </w:numPr>
        <w:spacing w:line="360" w:lineRule="auto"/>
        <w:jc w:val="both"/>
        <w:rPr>
          <w:rFonts w:ascii="Cambria" w:hAnsi="Cambria"/>
          <w:sz w:val="24"/>
          <w:szCs w:val="24"/>
        </w:rPr>
      </w:pPr>
      <w:bookmarkStart w:id="83" w:name="_Toc25850968"/>
      <w:r w:rsidRPr="00BF0E9D">
        <w:rPr>
          <w:rFonts w:ascii="Cambria" w:hAnsi="Cambria"/>
          <w:sz w:val="24"/>
          <w:szCs w:val="24"/>
        </w:rPr>
        <w:t xml:space="preserve">Introduction of </w:t>
      </w:r>
      <w:r w:rsidR="009E0A9B" w:rsidRPr="00BF0E9D">
        <w:rPr>
          <w:rFonts w:ascii="Cambria" w:hAnsi="Cambria"/>
          <w:sz w:val="24"/>
          <w:szCs w:val="24"/>
        </w:rPr>
        <w:t>KVAH Billing</w:t>
      </w:r>
      <w:bookmarkEnd w:id="83"/>
      <w:r w:rsidR="009E0A9B" w:rsidRPr="00BF0E9D">
        <w:rPr>
          <w:rFonts w:ascii="Cambria" w:hAnsi="Cambria"/>
          <w:sz w:val="24"/>
          <w:szCs w:val="24"/>
        </w:rPr>
        <w:t xml:space="preserve"> </w:t>
      </w:r>
    </w:p>
    <w:p w:rsidR="00FF6E56" w:rsidRDefault="009A7E7A" w:rsidP="00E615FD">
      <w:pPr>
        <w:spacing w:line="360" w:lineRule="auto"/>
        <w:ind w:firstLine="720"/>
        <w:jc w:val="both"/>
      </w:pPr>
      <w:r w:rsidRPr="009C0665">
        <w:rPr>
          <w:rFonts w:cs="Arial"/>
          <w:color w:val="222222"/>
          <w:lang w:val="en-IN" w:eastAsia="en-IN" w:bidi="or-IN"/>
        </w:rPr>
        <w:t>“</w:t>
      </w:r>
      <w:r w:rsidRPr="009C0665">
        <w:t xml:space="preserve">Billing to Consumers based on kVAh recording instead of kWh recording </w:t>
      </w:r>
    </w:p>
    <w:p w:rsidR="009A7E7A" w:rsidRPr="009C0665" w:rsidRDefault="009A7E7A" w:rsidP="00FF6E56">
      <w:pPr>
        <w:spacing w:line="360" w:lineRule="auto"/>
        <w:jc w:val="both"/>
        <w:rPr>
          <w:rFonts w:cs="Arial"/>
          <w:color w:val="222222"/>
          <w:lang w:val="en-IN" w:eastAsia="en-IN" w:bidi="or-IN"/>
        </w:rPr>
      </w:pPr>
      <w:r w:rsidRPr="009C0665">
        <w:t xml:space="preserve">OR </w:t>
      </w:r>
      <w:r w:rsidR="00E615FD">
        <w:tab/>
      </w:r>
      <w:r w:rsidRPr="009C0665">
        <w:t>Power Factor Penalty to HT &amp; LT Consumers above 20 KW :</w:t>
      </w:r>
    </w:p>
    <w:p w:rsidR="009A7E7A" w:rsidRPr="009C0665" w:rsidRDefault="009A7E7A" w:rsidP="00FF6E56">
      <w:pPr>
        <w:spacing w:line="360" w:lineRule="auto"/>
        <w:jc w:val="both"/>
        <w:rPr>
          <w:rFonts w:cs="Arial"/>
          <w:color w:val="222222"/>
          <w:lang w:val="en-IN" w:eastAsia="en-IN" w:bidi="or-IN"/>
        </w:rPr>
      </w:pP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The Hon’ble Commission in its RST Order dtd 22.03.2014 for FY-2014-2015 had given the following directions to the DISCOMs vide Para-246. The said Para-246 is quoted herein below.</w:t>
      </w:r>
    </w:p>
    <w:p w:rsidR="009A7E7A" w:rsidRPr="009C0665" w:rsidRDefault="009A7E7A" w:rsidP="00FF6E56">
      <w:pPr>
        <w:spacing w:line="360" w:lineRule="auto"/>
        <w:jc w:val="both"/>
        <w:rPr>
          <w:rFonts w:cs="Arial"/>
          <w:color w:val="222222"/>
          <w:u w:val="single"/>
          <w:lang w:val="en-IN" w:eastAsia="en-IN" w:bidi="or-IN"/>
        </w:rPr>
      </w:pPr>
    </w:p>
    <w:p w:rsidR="009A7E7A" w:rsidRPr="009C0665" w:rsidRDefault="009A7E7A" w:rsidP="00FF6E56">
      <w:pPr>
        <w:spacing w:line="360" w:lineRule="auto"/>
        <w:jc w:val="both"/>
        <w:rPr>
          <w:i/>
        </w:rPr>
      </w:pPr>
      <w:r w:rsidRPr="009C0665">
        <w:rPr>
          <w:rFonts w:cs="Arial"/>
          <w:color w:val="222222"/>
          <w:lang w:val="en-IN" w:eastAsia="en-IN" w:bidi="or-IN"/>
        </w:rPr>
        <w:tab/>
      </w:r>
      <w:r w:rsidRPr="009C0665">
        <w:rPr>
          <w:rFonts w:cs="Arial"/>
          <w:i/>
          <w:color w:val="222222"/>
          <w:lang w:val="en-IN" w:eastAsia="en-IN" w:bidi="or-IN"/>
        </w:rPr>
        <w:t>“</w:t>
      </w:r>
      <w:r w:rsidRPr="009C0665">
        <w:rPr>
          <w:i/>
        </w:rPr>
        <w:t>Billing to Consumers based on kVAh recording instead of kWh recording.</w:t>
      </w:r>
    </w:p>
    <w:p w:rsidR="009A7E7A" w:rsidRPr="009C0665" w:rsidRDefault="009A7E7A" w:rsidP="00FF6E56">
      <w:pPr>
        <w:spacing w:line="360" w:lineRule="auto"/>
        <w:jc w:val="both"/>
        <w:rPr>
          <w:i/>
        </w:rPr>
      </w:pPr>
      <w:r w:rsidRPr="009C0665">
        <w:t xml:space="preserve">The Commission after detailed analysis observed that the </w:t>
      </w:r>
      <w:r w:rsidR="006C38E9">
        <w:t>Utilities</w:t>
      </w:r>
      <w:r w:rsidRPr="009C0665">
        <w:t xml:space="preserve"> are not prepared with the necessary metering and billing arrangement for all the consumers to be covered under kVAh billing. Hence, the Commission declined to accept the proposal of the </w:t>
      </w:r>
      <w:r w:rsidR="006C38E9">
        <w:t>Utilities</w:t>
      </w:r>
      <w:r w:rsidRPr="009C0665">
        <w:t xml:space="preserve"> to introduce kVAh billing in a phased manner. However, the </w:t>
      </w:r>
      <w:r w:rsidR="006C38E9">
        <w:t>Utilities</w:t>
      </w:r>
      <w:r w:rsidRPr="009C0665">
        <w:t xml:space="preserve"> are required to justify their readiness to implement such system of billing as directed below:</w:t>
      </w:r>
    </w:p>
    <w:p w:rsidR="009A7E7A" w:rsidRPr="009C0665" w:rsidRDefault="009A7E7A" w:rsidP="00FF6E56">
      <w:pPr>
        <w:spacing w:line="360" w:lineRule="auto"/>
        <w:jc w:val="both"/>
        <w:rPr>
          <w:i/>
        </w:rPr>
      </w:pPr>
      <w:r w:rsidRPr="009C0665">
        <w:rPr>
          <w:i/>
        </w:rPr>
        <w:t>The Commission directs the Distribution Licensees to prepare a detailed sales  containing category wise and consumer wise contracted load / connected load and their month wise consumption for the latest three years ending 31</w:t>
      </w:r>
      <w:r w:rsidRPr="009C0665">
        <w:rPr>
          <w:i/>
          <w:vertAlign w:val="superscript"/>
        </w:rPr>
        <w:t>st</w:t>
      </w:r>
      <w:r w:rsidRPr="009C0665">
        <w:rPr>
          <w:i/>
        </w:rPr>
        <w:t xml:space="preserve"> March, 2014 showing the consumer wise and month wise amount billed under Demand Charge/ MMFC, energy charge and power factor penalty of such consumers (for whom the Licensees intend to introduce kVAh billing)  including information on types of meters fitted against each consumer showing the capability of each meter for kVAh billing and the software developed by the Licensees for such billing. They are required to submit the complete information in this regard latest by 30</w:t>
      </w:r>
      <w:r w:rsidRPr="009C0665">
        <w:rPr>
          <w:i/>
          <w:vertAlign w:val="superscript"/>
        </w:rPr>
        <w:t>th</w:t>
      </w:r>
      <w:r w:rsidRPr="009C0665">
        <w:rPr>
          <w:i/>
        </w:rPr>
        <w:t xml:space="preserve"> September, 2014.”</w:t>
      </w:r>
    </w:p>
    <w:p w:rsidR="009A7E7A" w:rsidRPr="009C0665" w:rsidRDefault="009A7E7A" w:rsidP="00FF6E56">
      <w:pPr>
        <w:spacing w:line="360" w:lineRule="auto"/>
        <w:jc w:val="both"/>
      </w:pPr>
    </w:p>
    <w:p w:rsidR="009A7E7A" w:rsidRPr="009C0665" w:rsidRDefault="009A7E7A" w:rsidP="00FF6E56">
      <w:pPr>
        <w:spacing w:line="360" w:lineRule="auto"/>
        <w:jc w:val="both"/>
      </w:pPr>
      <w:r w:rsidRPr="009C0665">
        <w:t xml:space="preserve">Incompliance to the above direction of Hon’ble commission </w:t>
      </w:r>
      <w:r w:rsidR="00E615FD">
        <w:t xml:space="preserve">the </w:t>
      </w:r>
      <w:r w:rsidR="006C38E9">
        <w:t>Utility</w:t>
      </w:r>
      <w:r w:rsidR="00E615FD">
        <w:t xml:space="preserve"> has </w:t>
      </w:r>
      <w:r w:rsidRPr="009C0665">
        <w:t xml:space="preserve">submitted the above required data of 20 KW and above Consumers before the Hon’ble commission During month of </w:t>
      </w:r>
      <w:r w:rsidR="00E615FD">
        <w:t>Nov</w:t>
      </w:r>
      <w:r w:rsidRPr="009C0665">
        <w:t xml:space="preserve">’2014. </w:t>
      </w:r>
    </w:p>
    <w:p w:rsidR="009A7E7A" w:rsidRPr="009C0665" w:rsidRDefault="009A7E7A" w:rsidP="00FF6E56">
      <w:pPr>
        <w:spacing w:line="360" w:lineRule="auto"/>
        <w:jc w:val="both"/>
      </w:pP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This has been verified that all the 3-phase meters, especially </w:t>
      </w:r>
      <w:r w:rsidR="00114CF8" w:rsidRPr="009C0665">
        <w:rPr>
          <w:rFonts w:cs="Arial"/>
          <w:color w:val="222222"/>
          <w:lang w:val="en-IN" w:eastAsia="en-IN" w:bidi="or-IN"/>
        </w:rPr>
        <w:t>those installed</w:t>
      </w:r>
      <w:r w:rsidRPr="009C0665">
        <w:rPr>
          <w:rFonts w:cs="Arial"/>
          <w:color w:val="222222"/>
          <w:lang w:val="en-IN" w:eastAsia="en-IN" w:bidi="or-IN"/>
        </w:rPr>
        <w:t xml:space="preserve"> for consumers having Contract Demand 20KW and above in the DISCOMs are enabled with all the energy parameters and storing dump </w:t>
      </w:r>
      <w:r w:rsidR="00114CF8" w:rsidRPr="009C0665">
        <w:rPr>
          <w:rFonts w:cs="Arial"/>
          <w:color w:val="222222"/>
          <w:lang w:val="en-IN" w:eastAsia="en-IN" w:bidi="or-IN"/>
        </w:rPr>
        <w:t>record of</w:t>
      </w:r>
      <w:r w:rsidRPr="009C0665">
        <w:rPr>
          <w:rFonts w:cs="Arial"/>
          <w:color w:val="222222"/>
          <w:lang w:val="en-IN" w:eastAsia="en-IN" w:bidi="or-IN"/>
        </w:rPr>
        <w:t xml:space="preserve"> 35 days.  All such meters show instantaneous Power Factor and  monthly average Power Factor can be computed as ratio of  active power and </w:t>
      </w:r>
      <w:r w:rsidRPr="009C0665">
        <w:rPr>
          <w:rFonts w:cs="Arial"/>
          <w:color w:val="222222"/>
          <w:lang w:val="en-IN" w:eastAsia="en-IN" w:bidi="or-IN"/>
        </w:rPr>
        <w:lastRenderedPageBreak/>
        <w:t xml:space="preserve">apparent power drawn by consumers like in case of existing large and Medium Industries Consumers presently being billed. </w:t>
      </w:r>
      <w:r w:rsidR="00114CF8" w:rsidRPr="009C0665">
        <w:rPr>
          <w:rFonts w:cs="Arial"/>
          <w:color w:val="222222"/>
          <w:lang w:val="en-IN" w:eastAsia="en-IN" w:bidi="or-IN"/>
        </w:rPr>
        <w:t>Hence DISCOMs</w:t>
      </w:r>
      <w:r w:rsidRPr="009C0665">
        <w:rPr>
          <w:rFonts w:cs="Arial"/>
          <w:color w:val="222222"/>
          <w:lang w:val="en-IN" w:eastAsia="en-IN" w:bidi="or-IN"/>
        </w:rPr>
        <w:t xml:space="preserve"> are fully equipped to implement KVAH billing in respect of all those consumers in place </w:t>
      </w:r>
      <w:r w:rsidR="00114CF8" w:rsidRPr="009C0665">
        <w:rPr>
          <w:rFonts w:cs="Arial"/>
          <w:color w:val="222222"/>
          <w:lang w:val="en-IN" w:eastAsia="en-IN" w:bidi="or-IN"/>
        </w:rPr>
        <w:t>of existing</w:t>
      </w:r>
      <w:r w:rsidRPr="009C0665">
        <w:rPr>
          <w:rFonts w:cs="Arial"/>
          <w:color w:val="222222"/>
          <w:lang w:val="en-IN" w:eastAsia="en-IN" w:bidi="or-IN"/>
        </w:rPr>
        <w:t xml:space="preserve">  KWH Billing.</w:t>
      </w:r>
    </w:p>
    <w:p w:rsidR="009A7E7A" w:rsidRPr="009C0665" w:rsidRDefault="009A7E7A" w:rsidP="00FF6E56">
      <w:pPr>
        <w:spacing w:line="360" w:lineRule="auto"/>
        <w:jc w:val="both"/>
        <w:rPr>
          <w:rFonts w:cs="Arial"/>
          <w:color w:val="222222"/>
          <w:lang w:val="en-IN" w:eastAsia="en-IN" w:bidi="or-IN"/>
        </w:rPr>
      </w:pPr>
    </w:p>
    <w:p w:rsidR="009A7E7A" w:rsidRPr="009C0665" w:rsidRDefault="009A7E7A" w:rsidP="00FF6E56">
      <w:pPr>
        <w:spacing w:line="360" w:lineRule="auto"/>
        <w:jc w:val="both"/>
        <w:rPr>
          <w:rFonts w:cs="Arial"/>
          <w:color w:val="222222"/>
          <w:u w:val="single"/>
          <w:lang w:val="en-IN" w:eastAsia="en-IN" w:bidi="or-IN"/>
        </w:rPr>
      </w:pPr>
      <w:r w:rsidRPr="009C0665">
        <w:rPr>
          <w:rFonts w:cs="Arial"/>
          <w:color w:val="222222"/>
          <w:u w:val="single"/>
          <w:lang w:val="en-IN" w:eastAsia="en-IN" w:bidi="or-IN"/>
        </w:rPr>
        <w:t xml:space="preserve">Benefits of KVAH Billing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It is further submitted that, by adopting KVAH billing in place of KWh Billing the recent pattern of Power Factor penalty imposed on the consumers will be abolished. The objective of introduction of KVAh billing is to ensure reduction </w:t>
      </w:r>
      <w:r w:rsidR="00570333" w:rsidRPr="009C0665">
        <w:rPr>
          <w:rFonts w:cs="Arial"/>
          <w:color w:val="222222"/>
          <w:lang w:val="en-IN" w:eastAsia="en-IN" w:bidi="or-IN"/>
        </w:rPr>
        <w:t>in losses</w:t>
      </w:r>
      <w:r w:rsidRPr="009C0665">
        <w:rPr>
          <w:rFonts w:cs="Arial"/>
          <w:color w:val="222222"/>
          <w:lang w:val="en-IN" w:eastAsia="en-IN" w:bidi="or-IN"/>
        </w:rPr>
        <w:t xml:space="preserve"> which occurs due to low power factor. The DISCOMs, therefore expect the consumers to have unity power factor. The objective of KVAh based billing is for encouraging the consumers to maintain their power</w:t>
      </w:r>
      <w:r w:rsidR="00570333">
        <w:rPr>
          <w:rFonts w:cs="Arial"/>
          <w:color w:val="222222"/>
          <w:lang w:val="en-IN" w:eastAsia="en-IN" w:bidi="or-IN"/>
        </w:rPr>
        <w:t xml:space="preserve"> factor </w:t>
      </w:r>
      <w:r w:rsidRPr="009C0665">
        <w:rPr>
          <w:rFonts w:cs="Arial"/>
          <w:color w:val="222222"/>
          <w:lang w:val="en-IN" w:eastAsia="en-IN" w:bidi="or-IN"/>
        </w:rPr>
        <w:t xml:space="preserve">near to unity Power factor.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In the present tariff structure, the power factor penalty is limited to only large consumers having contract demand of more than 110 KVA while medium and other three phase consumers are exempted. DISCOMs request for introduction of KVAh based tariff for energy drawal for all the three phase industrial consumers availing power supply in LT and HT and for which presently no Power Factor Penalty is imposed in the tariff and all the three-phase meters are capable of reading KVAh component of energy.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Since all three phase meters provided by the DISCOMs at the consumer premises are capable of reading KVAh Component directly and the billing system of DISCOMs also ready to accept such changes in the energy billing component, there will be no operational </w:t>
      </w:r>
      <w:r w:rsidR="00570333" w:rsidRPr="009C0665">
        <w:rPr>
          <w:rFonts w:cs="Arial"/>
          <w:color w:val="222222"/>
          <w:lang w:val="en-IN" w:eastAsia="en-IN" w:bidi="or-IN"/>
        </w:rPr>
        <w:t>issues after</w:t>
      </w:r>
      <w:r w:rsidRPr="009C0665">
        <w:rPr>
          <w:rFonts w:cs="Arial"/>
          <w:color w:val="222222"/>
          <w:lang w:val="en-IN" w:eastAsia="en-IN" w:bidi="or-IN"/>
        </w:rPr>
        <w:t xml:space="preserve"> implementation of KVAH </w:t>
      </w:r>
      <w:r w:rsidR="00570333" w:rsidRPr="009C0665">
        <w:rPr>
          <w:rFonts w:cs="Arial"/>
          <w:color w:val="222222"/>
          <w:lang w:val="en-IN" w:eastAsia="en-IN" w:bidi="or-IN"/>
        </w:rPr>
        <w:t>Billing.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 OERC Regulation 1 ( bb) specifies the definition of Meter as </w:t>
      </w:r>
    </w:p>
    <w:p w:rsidR="009A7E7A" w:rsidRPr="009C0665" w:rsidRDefault="009A7E7A" w:rsidP="00FF6E56">
      <w:pPr>
        <w:spacing w:line="360" w:lineRule="auto"/>
        <w:jc w:val="both"/>
        <w:rPr>
          <w:rFonts w:cs="Arial"/>
          <w:i/>
          <w:color w:val="222222"/>
          <w:lang w:val="en-IN" w:eastAsia="en-IN" w:bidi="or-IN"/>
        </w:rPr>
      </w:pPr>
      <w:r w:rsidRPr="009C0665">
        <w:rPr>
          <w:rFonts w:cs="Arial"/>
          <w:i/>
          <w:color w:val="222222"/>
          <w:lang w:val="en-IN" w:eastAsia="en-IN" w:bidi="or-IN"/>
        </w:rPr>
        <w:t xml:space="preserve"> “ Meter : means an equipment used for measuring electrical quantities  like  energy in KWH or KVAH Maximum demand in KW or KVA , reactive energy in KVAR hours etc including accessories like CT &amp; PT where used in conjunction with such meter and any enclosure used for housing or fixing such meter or its accessories and any device testing purpose”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 This supports for billing a consumer on the energy consumed on KVAH basis.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 xml:space="preserve">Therefore, the KVAh billing system is a win-win situation for DISCOMs as well as  Consumers . </w:t>
      </w: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With the above submissions, the Hon’ble Commission is requested to allow KVAh billing from ensuing FY 20</w:t>
      </w:r>
      <w:r w:rsidR="001D0788">
        <w:rPr>
          <w:rFonts w:cs="Arial"/>
          <w:color w:val="222222"/>
          <w:lang w:val="en-IN" w:eastAsia="en-IN" w:bidi="or-IN"/>
        </w:rPr>
        <w:t>20</w:t>
      </w:r>
      <w:r w:rsidRPr="009C0665">
        <w:rPr>
          <w:rFonts w:cs="Arial"/>
          <w:color w:val="222222"/>
          <w:lang w:val="en-IN" w:eastAsia="en-IN" w:bidi="or-IN"/>
        </w:rPr>
        <w:t>-</w:t>
      </w:r>
      <w:r w:rsidR="00FD0A34">
        <w:rPr>
          <w:rFonts w:cs="Arial"/>
          <w:color w:val="222222"/>
          <w:lang w:val="en-IN" w:eastAsia="en-IN" w:bidi="or-IN"/>
        </w:rPr>
        <w:t>2</w:t>
      </w:r>
      <w:r w:rsidR="001D0788">
        <w:rPr>
          <w:rFonts w:cs="Arial"/>
          <w:color w:val="222222"/>
          <w:lang w:val="en-IN" w:eastAsia="en-IN" w:bidi="or-IN"/>
        </w:rPr>
        <w:t>1</w:t>
      </w:r>
      <w:r w:rsidRPr="009C0665">
        <w:rPr>
          <w:rFonts w:cs="Arial"/>
          <w:color w:val="222222"/>
          <w:lang w:val="en-IN" w:eastAsia="en-IN" w:bidi="or-IN"/>
        </w:rPr>
        <w:t xml:space="preserve">. </w:t>
      </w:r>
    </w:p>
    <w:p w:rsidR="009A7E7A" w:rsidRPr="009C0665" w:rsidRDefault="009A7E7A" w:rsidP="00FF6E56">
      <w:pPr>
        <w:spacing w:line="360" w:lineRule="auto"/>
        <w:jc w:val="both"/>
        <w:rPr>
          <w:rFonts w:cs="Arial"/>
          <w:color w:val="222222"/>
          <w:lang w:val="en-IN" w:eastAsia="en-IN" w:bidi="or-IN"/>
        </w:rPr>
      </w:pPr>
    </w:p>
    <w:p w:rsidR="009A7E7A" w:rsidRPr="009C0665" w:rsidRDefault="009A7E7A" w:rsidP="00FF6E56">
      <w:pPr>
        <w:spacing w:line="360" w:lineRule="auto"/>
        <w:jc w:val="both"/>
        <w:rPr>
          <w:rFonts w:cs="Arial"/>
          <w:color w:val="222222"/>
          <w:lang w:val="en-IN" w:eastAsia="en-IN" w:bidi="or-IN"/>
        </w:rPr>
      </w:pPr>
      <w:r w:rsidRPr="009C0665">
        <w:rPr>
          <w:rFonts w:cs="Arial"/>
          <w:color w:val="222222"/>
          <w:lang w:val="en-IN" w:eastAsia="en-IN" w:bidi="or-IN"/>
        </w:rPr>
        <w:t>OR</w:t>
      </w:r>
    </w:p>
    <w:p w:rsidR="009A7E7A" w:rsidRPr="009C0665" w:rsidRDefault="009A7E7A" w:rsidP="00FF6E56">
      <w:pPr>
        <w:spacing w:line="360" w:lineRule="auto"/>
        <w:jc w:val="both"/>
      </w:pPr>
      <w:r w:rsidRPr="009C0665">
        <w:rPr>
          <w:u w:val="single"/>
        </w:rPr>
        <w:t xml:space="preserve">Applicability of Power Factor Penalty to LT &amp; HT Category of Consumers above 20 KW </w:t>
      </w:r>
      <w:r w:rsidRPr="009C0665">
        <w:t xml:space="preserve">: </w:t>
      </w:r>
    </w:p>
    <w:p w:rsidR="009A7E7A" w:rsidRPr="009C0665" w:rsidRDefault="009A7E7A" w:rsidP="00FF6E56">
      <w:pPr>
        <w:spacing w:line="360" w:lineRule="auto"/>
        <w:jc w:val="both"/>
      </w:pPr>
      <w:r w:rsidRPr="009C0665">
        <w:lastRenderedPageBreak/>
        <w:t>Hon’ble Commission in its RST order for FY 201</w:t>
      </w:r>
      <w:r w:rsidR="001D0788">
        <w:t>9-20</w:t>
      </w:r>
      <w:r w:rsidRPr="009C0665">
        <w:t xml:space="preserve"> orders for continuance of the power factor penalty as a % of Monthly demand Charge of monthly Demand Charge and Energy Charges on the following HT &amp;  EHT consumers :</w:t>
      </w:r>
    </w:p>
    <w:p w:rsidR="009A7E7A" w:rsidRPr="009C0665" w:rsidRDefault="009A7E7A" w:rsidP="008538FC">
      <w:pPr>
        <w:spacing w:line="360" w:lineRule="auto"/>
        <w:ind w:firstLine="720"/>
        <w:jc w:val="both"/>
      </w:pPr>
      <w:r w:rsidRPr="009C0665">
        <w:t xml:space="preserve">Large Industries </w:t>
      </w:r>
    </w:p>
    <w:p w:rsidR="009A7E7A" w:rsidRPr="009C0665" w:rsidRDefault="009A7E7A" w:rsidP="008538FC">
      <w:pPr>
        <w:spacing w:line="360" w:lineRule="auto"/>
        <w:ind w:firstLine="720"/>
        <w:jc w:val="both"/>
      </w:pPr>
      <w:r w:rsidRPr="009C0665">
        <w:t>Public Water Works (110 KVA and Above)</w:t>
      </w:r>
    </w:p>
    <w:p w:rsidR="009A7E7A" w:rsidRPr="009C0665" w:rsidRDefault="009A7E7A" w:rsidP="008538FC">
      <w:pPr>
        <w:spacing w:line="360" w:lineRule="auto"/>
        <w:ind w:firstLine="720"/>
        <w:jc w:val="both"/>
      </w:pPr>
      <w:r w:rsidRPr="009C0665">
        <w:t xml:space="preserve">Railway Traction </w:t>
      </w:r>
    </w:p>
    <w:p w:rsidR="009A7E7A" w:rsidRPr="009C0665" w:rsidRDefault="009A7E7A" w:rsidP="008538FC">
      <w:pPr>
        <w:spacing w:line="360" w:lineRule="auto"/>
        <w:ind w:firstLine="720"/>
        <w:jc w:val="both"/>
      </w:pPr>
      <w:r w:rsidRPr="009C0665">
        <w:t xml:space="preserve">Power Intensive Industries </w:t>
      </w:r>
    </w:p>
    <w:p w:rsidR="009A7E7A" w:rsidRPr="009C0665" w:rsidRDefault="009A7E7A" w:rsidP="008538FC">
      <w:pPr>
        <w:spacing w:line="360" w:lineRule="auto"/>
        <w:ind w:firstLine="720"/>
        <w:jc w:val="both"/>
      </w:pPr>
      <w:r w:rsidRPr="009C0665">
        <w:t xml:space="preserve">Heavy Industries </w:t>
      </w:r>
    </w:p>
    <w:p w:rsidR="009A7E7A" w:rsidRPr="009C0665" w:rsidRDefault="009A7E7A" w:rsidP="008538FC">
      <w:pPr>
        <w:spacing w:line="360" w:lineRule="auto"/>
        <w:ind w:firstLine="720"/>
        <w:jc w:val="both"/>
      </w:pPr>
      <w:r w:rsidRPr="009C0665">
        <w:t xml:space="preserve">General Purpose Supply </w:t>
      </w:r>
    </w:p>
    <w:p w:rsidR="009A7E7A" w:rsidRPr="009C0665" w:rsidRDefault="009A7E7A" w:rsidP="008538FC">
      <w:pPr>
        <w:spacing w:line="360" w:lineRule="auto"/>
        <w:ind w:firstLine="720"/>
        <w:jc w:val="both"/>
      </w:pPr>
      <w:r w:rsidRPr="009C0665">
        <w:t>Specific Public Purpose (110 KVA and above)</w:t>
      </w:r>
    </w:p>
    <w:p w:rsidR="009A7E7A" w:rsidRPr="009C0665" w:rsidRDefault="009A7E7A" w:rsidP="008538FC">
      <w:pPr>
        <w:spacing w:line="360" w:lineRule="auto"/>
        <w:ind w:firstLine="720"/>
        <w:jc w:val="both"/>
      </w:pPr>
      <w:r w:rsidRPr="009C0665">
        <w:t>Mini Steel Plant.</w:t>
      </w:r>
    </w:p>
    <w:p w:rsidR="009A7E7A" w:rsidRPr="009C0665" w:rsidRDefault="009A7E7A" w:rsidP="008538FC">
      <w:pPr>
        <w:spacing w:line="360" w:lineRule="auto"/>
        <w:ind w:firstLine="720"/>
        <w:jc w:val="both"/>
      </w:pPr>
      <w:r w:rsidRPr="009C0665">
        <w:t>Emergency Power Supply to CGP.</w:t>
      </w:r>
    </w:p>
    <w:p w:rsidR="009A7E7A" w:rsidRPr="009C0665" w:rsidRDefault="009A7E7A" w:rsidP="00FF6E56">
      <w:pPr>
        <w:spacing w:line="360" w:lineRule="auto"/>
        <w:jc w:val="both"/>
      </w:pPr>
    </w:p>
    <w:p w:rsidR="009A7E7A" w:rsidRPr="009C0665" w:rsidRDefault="009A7E7A" w:rsidP="00FF6E56">
      <w:pPr>
        <w:spacing w:line="360" w:lineRule="auto"/>
        <w:jc w:val="both"/>
      </w:pPr>
      <w:r w:rsidRPr="009C0665">
        <w:t xml:space="preserve">If the above </w:t>
      </w:r>
      <w:r w:rsidR="005250AA" w:rsidRPr="009C0665">
        <w:t>proposals of DISCOMs are</w:t>
      </w:r>
      <w:r w:rsidRPr="009C0665">
        <w:t xml:space="preserve"> not considered by the Hon’ble Commission for implementation due to any reason DISCOMs pray for applicability of Power Factor </w:t>
      </w:r>
      <w:r w:rsidR="005250AA" w:rsidRPr="009C0665">
        <w:t>Penalty for</w:t>
      </w:r>
      <w:r w:rsidRPr="009C0665">
        <w:t xml:space="preserve"> the following category of </w:t>
      </w:r>
      <w:r w:rsidR="005250AA" w:rsidRPr="009C0665">
        <w:t>Consumers in</w:t>
      </w:r>
      <w:r w:rsidRPr="009C0665">
        <w:t xml:space="preserve"> order to bring more efficiency in Power System Operation till the KVAH billing is made applicable. </w:t>
      </w:r>
    </w:p>
    <w:p w:rsidR="009A7E7A" w:rsidRPr="008538FC" w:rsidRDefault="009A7E7A" w:rsidP="00FF6E56">
      <w:pPr>
        <w:spacing w:line="360" w:lineRule="auto"/>
        <w:jc w:val="both"/>
        <w:rPr>
          <w:b/>
        </w:rPr>
      </w:pPr>
    </w:p>
    <w:p w:rsidR="009A7E7A" w:rsidRPr="008538FC" w:rsidRDefault="009A7E7A" w:rsidP="00FF6E56">
      <w:pPr>
        <w:spacing w:line="360" w:lineRule="auto"/>
        <w:jc w:val="both"/>
        <w:rPr>
          <w:b/>
        </w:rPr>
      </w:pPr>
      <w:r w:rsidRPr="008538FC">
        <w:rPr>
          <w:b/>
        </w:rPr>
        <w:t xml:space="preserve">HT Category </w:t>
      </w:r>
    </w:p>
    <w:p w:rsidR="009A7E7A" w:rsidRPr="009C0665" w:rsidRDefault="009A7E7A" w:rsidP="00FF6E56">
      <w:pPr>
        <w:spacing w:line="360" w:lineRule="auto"/>
        <w:jc w:val="both"/>
      </w:pPr>
      <w:r w:rsidRPr="009C0665">
        <w:t xml:space="preserve">Specified Public Purpose </w:t>
      </w:r>
    </w:p>
    <w:p w:rsidR="009A7E7A" w:rsidRPr="009C0665" w:rsidRDefault="009A7E7A" w:rsidP="00FF6E56">
      <w:pPr>
        <w:spacing w:line="360" w:lineRule="auto"/>
        <w:jc w:val="both"/>
      </w:pPr>
      <w:r w:rsidRPr="009C0665">
        <w:t>General Purpose &lt; 110 KVA</w:t>
      </w:r>
    </w:p>
    <w:p w:rsidR="009A7E7A" w:rsidRPr="009C0665" w:rsidRDefault="009A7E7A" w:rsidP="00FF6E56">
      <w:pPr>
        <w:spacing w:line="360" w:lineRule="auto"/>
        <w:jc w:val="both"/>
      </w:pPr>
      <w:r w:rsidRPr="009C0665">
        <w:t>HT Industries ( M) Supply</w:t>
      </w:r>
    </w:p>
    <w:p w:rsidR="001E3699" w:rsidRPr="008538FC" w:rsidRDefault="001E3699" w:rsidP="00FF6E56">
      <w:pPr>
        <w:spacing w:line="360" w:lineRule="auto"/>
        <w:jc w:val="both"/>
        <w:rPr>
          <w:b/>
        </w:rPr>
      </w:pPr>
    </w:p>
    <w:p w:rsidR="009A7E7A" w:rsidRPr="008538FC" w:rsidRDefault="009A7E7A" w:rsidP="00FF6E56">
      <w:pPr>
        <w:spacing w:line="360" w:lineRule="auto"/>
        <w:jc w:val="both"/>
        <w:rPr>
          <w:b/>
        </w:rPr>
      </w:pPr>
      <w:r w:rsidRPr="008538FC">
        <w:rPr>
          <w:b/>
        </w:rPr>
        <w:t xml:space="preserve">LT Category </w:t>
      </w:r>
    </w:p>
    <w:p w:rsidR="009A7E7A" w:rsidRPr="009C0665" w:rsidRDefault="009A7E7A" w:rsidP="00FF6E56">
      <w:pPr>
        <w:spacing w:line="360" w:lineRule="auto"/>
        <w:jc w:val="both"/>
      </w:pPr>
      <w:r w:rsidRPr="009C0665">
        <w:t>LT industries Medium Supply</w:t>
      </w:r>
    </w:p>
    <w:p w:rsidR="009A7E7A" w:rsidRPr="009C0665" w:rsidRDefault="009A7E7A" w:rsidP="00FF6E56">
      <w:pPr>
        <w:spacing w:line="360" w:lineRule="auto"/>
        <w:jc w:val="both"/>
      </w:pPr>
      <w:r w:rsidRPr="009C0665">
        <w:t>Public Water Works and Swerage Pumping &gt; 22 KVA</w:t>
      </w:r>
    </w:p>
    <w:p w:rsidR="009E0A9B" w:rsidRPr="00BF0E9D" w:rsidRDefault="009E0A9B" w:rsidP="006935E2">
      <w:pPr>
        <w:pStyle w:val="Heading1"/>
        <w:numPr>
          <w:ilvl w:val="1"/>
          <w:numId w:val="13"/>
        </w:numPr>
        <w:spacing w:line="360" w:lineRule="auto"/>
        <w:jc w:val="both"/>
        <w:rPr>
          <w:rFonts w:ascii="Cambria" w:hAnsi="Cambria"/>
          <w:sz w:val="24"/>
          <w:szCs w:val="24"/>
        </w:rPr>
      </w:pPr>
      <w:bookmarkStart w:id="84" w:name="_Toc25850969"/>
      <w:r w:rsidRPr="00BF0E9D">
        <w:rPr>
          <w:rFonts w:ascii="Cambria" w:hAnsi="Cambria"/>
          <w:sz w:val="24"/>
          <w:szCs w:val="24"/>
        </w:rPr>
        <w:t>Applicability of Power Factor Penalty</w:t>
      </w:r>
      <w:r w:rsidR="008538FC">
        <w:rPr>
          <w:rFonts w:ascii="Cambria" w:hAnsi="Cambria"/>
          <w:sz w:val="24"/>
          <w:szCs w:val="24"/>
        </w:rPr>
        <w:t>.</w:t>
      </w:r>
      <w:bookmarkEnd w:id="84"/>
      <w:r w:rsidRPr="00BF0E9D">
        <w:rPr>
          <w:rFonts w:ascii="Cambria" w:hAnsi="Cambria"/>
          <w:sz w:val="24"/>
          <w:szCs w:val="24"/>
        </w:rPr>
        <w:t xml:space="preserve"> </w:t>
      </w:r>
    </w:p>
    <w:p w:rsidR="009E0A9B" w:rsidRPr="00BF0E9D" w:rsidRDefault="00FB208C" w:rsidP="00B91F1C">
      <w:pPr>
        <w:pStyle w:val="BodyText2"/>
        <w:spacing w:line="360" w:lineRule="auto"/>
        <w:jc w:val="both"/>
        <w:rPr>
          <w:rFonts w:ascii="Cambria" w:hAnsi="Cambria" w:cs="Arial"/>
          <w:sz w:val="24"/>
          <w:szCs w:val="24"/>
        </w:rPr>
      </w:pPr>
      <w:r w:rsidRPr="00BF0E9D">
        <w:rPr>
          <w:rFonts w:ascii="Cambria" w:hAnsi="Cambria" w:cs="Arial"/>
          <w:sz w:val="24"/>
          <w:szCs w:val="24"/>
        </w:rPr>
        <w:t>Hon’ble Commission in its RST order for FY 201</w:t>
      </w:r>
      <w:r w:rsidR="0012476E">
        <w:rPr>
          <w:rFonts w:ascii="Cambria" w:hAnsi="Cambria" w:cs="Arial"/>
          <w:sz w:val="24"/>
          <w:szCs w:val="24"/>
        </w:rPr>
        <w:t>9-20</w:t>
      </w:r>
      <w:r w:rsidRPr="00BF0E9D">
        <w:rPr>
          <w:rFonts w:ascii="Cambria" w:hAnsi="Cambria" w:cs="Arial"/>
          <w:sz w:val="24"/>
          <w:szCs w:val="24"/>
        </w:rPr>
        <w:t xml:space="preserve"> orders for continuance of the power factor penalty as a </w:t>
      </w:r>
      <w:r w:rsidRPr="00BF0E9D">
        <w:rPr>
          <w:rFonts w:ascii="Cambria" w:hAnsi="Cambria" w:cs="Arial"/>
          <w:sz w:val="24"/>
          <w:szCs w:val="24"/>
          <w:lang w:val="en-GB"/>
        </w:rPr>
        <w:t>percentage</w:t>
      </w:r>
      <w:r w:rsidRPr="00BF0E9D">
        <w:rPr>
          <w:rFonts w:ascii="Cambria" w:hAnsi="Cambria" w:cs="Arial"/>
          <w:sz w:val="24"/>
          <w:szCs w:val="24"/>
        </w:rPr>
        <w:t xml:space="preserve"> (%) of Monthly demand Charge of monthly Demand Charge and Energy Charges on the following HT &amp;  EHT consumers :</w:t>
      </w:r>
    </w:p>
    <w:p w:rsidR="009E0A9B" w:rsidRPr="00BF0E9D" w:rsidRDefault="00FB208C" w:rsidP="006935E2">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 xml:space="preserve">Large Industries </w:t>
      </w:r>
    </w:p>
    <w:p w:rsidR="009E0A9B" w:rsidRPr="00BF0E9D" w:rsidRDefault="00FB208C" w:rsidP="006935E2">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Public Water Works ( 110 KVA and Above)</w:t>
      </w:r>
    </w:p>
    <w:p w:rsidR="009E0A9B" w:rsidRPr="00BF0E9D" w:rsidRDefault="00FB208C" w:rsidP="006935E2">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lastRenderedPageBreak/>
        <w:t xml:space="preserve">Railway Traction </w:t>
      </w:r>
    </w:p>
    <w:p w:rsidR="009E0A9B" w:rsidRPr="00BF0E9D" w:rsidRDefault="00FB208C" w:rsidP="006935E2">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 xml:space="preserve">Power Intensive Industries </w:t>
      </w:r>
    </w:p>
    <w:p w:rsidR="009E0A9B" w:rsidRPr="00BF0E9D" w:rsidRDefault="00FB208C" w:rsidP="006935E2">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 xml:space="preserve">Heavy Industries </w:t>
      </w:r>
    </w:p>
    <w:p w:rsidR="009E0A9B" w:rsidRPr="00BF0E9D" w:rsidRDefault="00FB208C" w:rsidP="006935E2">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 xml:space="preserve">General Purpose Supply </w:t>
      </w:r>
    </w:p>
    <w:p w:rsidR="009E0A9B" w:rsidRPr="00BF0E9D" w:rsidRDefault="00FB208C" w:rsidP="006935E2">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Specific Public Purpose ( 110 KVA and above)</w:t>
      </w:r>
    </w:p>
    <w:p w:rsidR="009E0A9B" w:rsidRPr="00BF0E9D" w:rsidRDefault="00FB208C" w:rsidP="006935E2">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Mini Steel Plant.</w:t>
      </w:r>
    </w:p>
    <w:p w:rsidR="009E0A9B" w:rsidRPr="00BF0E9D" w:rsidRDefault="00FB208C" w:rsidP="006935E2">
      <w:pPr>
        <w:numPr>
          <w:ilvl w:val="0"/>
          <w:numId w:val="5"/>
        </w:numPr>
        <w:autoSpaceDE w:val="0"/>
        <w:autoSpaceDN w:val="0"/>
        <w:adjustRightInd w:val="0"/>
        <w:spacing w:after="100" w:afterAutospacing="1" w:line="360" w:lineRule="auto"/>
        <w:ind w:left="1886" w:hanging="360"/>
        <w:rPr>
          <w:rFonts w:ascii="Cambria" w:hAnsi="Cambria" w:cs="Arial"/>
        </w:rPr>
      </w:pPr>
      <w:r w:rsidRPr="00BF0E9D">
        <w:rPr>
          <w:rFonts w:ascii="Cambria" w:hAnsi="Cambria" w:cs="Arial"/>
        </w:rPr>
        <w:t>Emergency Power Supply to CGP.</w:t>
      </w:r>
    </w:p>
    <w:p w:rsidR="009E0A9B" w:rsidRPr="00BF0E9D" w:rsidRDefault="00FB208C" w:rsidP="00B91F1C">
      <w:pPr>
        <w:autoSpaceDE w:val="0"/>
        <w:autoSpaceDN w:val="0"/>
        <w:adjustRightInd w:val="0"/>
        <w:spacing w:after="200" w:line="360" w:lineRule="auto"/>
        <w:ind w:left="360"/>
        <w:jc w:val="both"/>
        <w:rPr>
          <w:rFonts w:ascii="Cambria" w:hAnsi="Cambria" w:cs="Arial"/>
          <w:b/>
        </w:rPr>
      </w:pPr>
      <w:r w:rsidRPr="00BF0E9D">
        <w:rPr>
          <w:rFonts w:ascii="Cambria" w:hAnsi="Cambria" w:cs="Arial"/>
          <w:b/>
        </w:rPr>
        <w:t xml:space="preserve">Till such time KVAH billing approach is adopted the </w:t>
      </w:r>
      <w:r w:rsidR="006C38E9">
        <w:rPr>
          <w:rFonts w:ascii="Cambria" w:hAnsi="Cambria" w:cs="Arial"/>
          <w:b/>
        </w:rPr>
        <w:t>Utility</w:t>
      </w:r>
      <w:r w:rsidRPr="00BF0E9D">
        <w:rPr>
          <w:rFonts w:ascii="Cambria" w:hAnsi="Cambria" w:cs="Arial"/>
          <w:b/>
        </w:rPr>
        <w:t xml:space="preserve"> proposes for applicability of Power Factor Penalty for the following category of </w:t>
      </w:r>
      <w:r w:rsidR="005250AA" w:rsidRPr="00BF0E9D">
        <w:rPr>
          <w:rFonts w:ascii="Cambria" w:hAnsi="Cambria" w:cs="Arial"/>
          <w:b/>
        </w:rPr>
        <w:t>Consumers in</w:t>
      </w:r>
      <w:r w:rsidRPr="00BF0E9D">
        <w:rPr>
          <w:rFonts w:ascii="Cambria" w:hAnsi="Cambria" w:cs="Arial"/>
          <w:b/>
        </w:rPr>
        <w:t xml:space="preserve"> order to bring more efficiency in Power System Operation.</w:t>
      </w:r>
      <w:r w:rsidR="009E0A9B" w:rsidRPr="00BF0E9D">
        <w:rPr>
          <w:rFonts w:ascii="Cambria" w:hAnsi="Cambria" w:cs="Arial"/>
          <w:b/>
        </w:rPr>
        <w:t xml:space="preserve"> </w:t>
      </w:r>
    </w:p>
    <w:p w:rsidR="009E0A9B" w:rsidRPr="008538FC" w:rsidRDefault="00FB208C" w:rsidP="00B91F1C">
      <w:pPr>
        <w:autoSpaceDE w:val="0"/>
        <w:autoSpaceDN w:val="0"/>
        <w:adjustRightInd w:val="0"/>
        <w:spacing w:after="200" w:line="360" w:lineRule="auto"/>
        <w:ind w:left="360"/>
        <w:rPr>
          <w:rFonts w:ascii="Cambria" w:hAnsi="Cambria" w:cs="Arial"/>
          <w:b/>
        </w:rPr>
      </w:pPr>
      <w:r w:rsidRPr="008538FC">
        <w:rPr>
          <w:rFonts w:ascii="Cambria" w:hAnsi="Cambria" w:cs="Arial"/>
          <w:b/>
        </w:rPr>
        <w:t xml:space="preserve">LT Category </w:t>
      </w:r>
    </w:p>
    <w:p w:rsidR="009E0A9B" w:rsidRPr="00BF0E9D" w:rsidRDefault="00FB208C" w:rsidP="006935E2">
      <w:pPr>
        <w:numPr>
          <w:ilvl w:val="0"/>
          <w:numId w:val="5"/>
        </w:numPr>
        <w:autoSpaceDE w:val="0"/>
        <w:autoSpaceDN w:val="0"/>
        <w:adjustRightInd w:val="0"/>
        <w:spacing w:after="100" w:afterAutospacing="1" w:line="360" w:lineRule="auto"/>
        <w:ind w:left="1080" w:hanging="720"/>
        <w:rPr>
          <w:rFonts w:ascii="Cambria" w:hAnsi="Cambria" w:cs="Arial"/>
        </w:rPr>
      </w:pPr>
      <w:r w:rsidRPr="00BF0E9D">
        <w:rPr>
          <w:rFonts w:ascii="Cambria" w:hAnsi="Cambria" w:cs="Arial"/>
        </w:rPr>
        <w:t>LT industries Medium Supply</w:t>
      </w:r>
    </w:p>
    <w:p w:rsidR="009E0A9B" w:rsidRPr="00BF0E9D" w:rsidRDefault="00FB208C" w:rsidP="006935E2">
      <w:pPr>
        <w:numPr>
          <w:ilvl w:val="0"/>
          <w:numId w:val="5"/>
        </w:numPr>
        <w:autoSpaceDE w:val="0"/>
        <w:autoSpaceDN w:val="0"/>
        <w:adjustRightInd w:val="0"/>
        <w:spacing w:after="100" w:afterAutospacing="1" w:line="360" w:lineRule="auto"/>
        <w:ind w:left="1080" w:hanging="720"/>
        <w:rPr>
          <w:rFonts w:ascii="Cambria" w:hAnsi="Cambria" w:cs="Arial"/>
        </w:rPr>
      </w:pPr>
      <w:r w:rsidRPr="00BF0E9D">
        <w:rPr>
          <w:rFonts w:ascii="Cambria" w:hAnsi="Cambria" w:cs="Arial"/>
        </w:rPr>
        <w:t xml:space="preserve">Public Water Works and Swerage Pumping &gt; 22 KVA </w:t>
      </w:r>
    </w:p>
    <w:p w:rsidR="009E0A9B" w:rsidRPr="008538FC" w:rsidRDefault="00FB208C" w:rsidP="00B91F1C">
      <w:pPr>
        <w:autoSpaceDE w:val="0"/>
        <w:autoSpaceDN w:val="0"/>
        <w:adjustRightInd w:val="0"/>
        <w:spacing w:after="100" w:afterAutospacing="1" w:line="360" w:lineRule="auto"/>
        <w:ind w:left="1080" w:hanging="720"/>
        <w:jc w:val="both"/>
        <w:rPr>
          <w:rFonts w:ascii="Cambria" w:hAnsi="Cambria" w:cs="Arial"/>
          <w:b/>
        </w:rPr>
      </w:pPr>
      <w:r w:rsidRPr="008538FC">
        <w:rPr>
          <w:rFonts w:ascii="Cambria" w:hAnsi="Cambria" w:cs="Arial"/>
          <w:b/>
        </w:rPr>
        <w:t xml:space="preserve">HT Category </w:t>
      </w:r>
    </w:p>
    <w:p w:rsidR="009E0A9B" w:rsidRPr="00BF0E9D" w:rsidRDefault="00FB208C" w:rsidP="006935E2">
      <w:pPr>
        <w:numPr>
          <w:ilvl w:val="0"/>
          <w:numId w:val="5"/>
        </w:numPr>
        <w:autoSpaceDE w:val="0"/>
        <w:autoSpaceDN w:val="0"/>
        <w:adjustRightInd w:val="0"/>
        <w:spacing w:after="100" w:afterAutospacing="1" w:line="360" w:lineRule="auto"/>
        <w:ind w:left="1080" w:hanging="720"/>
        <w:jc w:val="both"/>
        <w:rPr>
          <w:rFonts w:ascii="Cambria" w:hAnsi="Cambria" w:cs="Arial"/>
        </w:rPr>
      </w:pPr>
      <w:r w:rsidRPr="00BF0E9D">
        <w:rPr>
          <w:rFonts w:ascii="Cambria" w:hAnsi="Cambria" w:cs="Arial"/>
        </w:rPr>
        <w:t xml:space="preserve">Specified Public Purpose </w:t>
      </w:r>
    </w:p>
    <w:p w:rsidR="009E0A9B" w:rsidRPr="00BF0E9D" w:rsidRDefault="00FB208C" w:rsidP="006935E2">
      <w:pPr>
        <w:numPr>
          <w:ilvl w:val="0"/>
          <w:numId w:val="5"/>
        </w:numPr>
        <w:autoSpaceDE w:val="0"/>
        <w:autoSpaceDN w:val="0"/>
        <w:adjustRightInd w:val="0"/>
        <w:spacing w:after="100" w:afterAutospacing="1" w:line="360" w:lineRule="auto"/>
        <w:ind w:left="1080" w:hanging="720"/>
        <w:jc w:val="both"/>
        <w:rPr>
          <w:rFonts w:ascii="Cambria" w:hAnsi="Cambria" w:cs="Arial"/>
        </w:rPr>
      </w:pPr>
      <w:r w:rsidRPr="00BF0E9D">
        <w:rPr>
          <w:rFonts w:ascii="Cambria" w:hAnsi="Cambria" w:cs="Arial"/>
        </w:rPr>
        <w:t>General Purpose &lt; 110 KVA</w:t>
      </w:r>
    </w:p>
    <w:p w:rsidR="009E0A9B" w:rsidRPr="00BF0E9D" w:rsidRDefault="00FB208C" w:rsidP="006935E2">
      <w:pPr>
        <w:numPr>
          <w:ilvl w:val="0"/>
          <w:numId w:val="5"/>
        </w:numPr>
        <w:autoSpaceDE w:val="0"/>
        <w:autoSpaceDN w:val="0"/>
        <w:adjustRightInd w:val="0"/>
        <w:spacing w:after="100" w:afterAutospacing="1" w:line="360" w:lineRule="auto"/>
        <w:ind w:left="1080" w:hanging="720"/>
        <w:jc w:val="both"/>
        <w:rPr>
          <w:rFonts w:ascii="Cambria" w:hAnsi="Cambria" w:cs="Arial"/>
        </w:rPr>
      </w:pPr>
      <w:r w:rsidRPr="00BF0E9D">
        <w:rPr>
          <w:rFonts w:ascii="Cambria" w:hAnsi="Cambria" w:cs="Arial"/>
        </w:rPr>
        <w:t xml:space="preserve">HT Industries ( M) Supply. </w:t>
      </w:r>
    </w:p>
    <w:p w:rsidR="00AB7253" w:rsidRDefault="009E0A9B" w:rsidP="00AB7253">
      <w:pPr>
        <w:pStyle w:val="Heading1"/>
        <w:numPr>
          <w:ilvl w:val="1"/>
          <w:numId w:val="13"/>
        </w:numPr>
        <w:spacing w:line="360" w:lineRule="auto"/>
        <w:jc w:val="both"/>
        <w:rPr>
          <w:rFonts w:ascii="Cambria" w:hAnsi="Cambria"/>
          <w:sz w:val="24"/>
          <w:szCs w:val="24"/>
          <w:lang w:val="en-GB"/>
        </w:rPr>
      </w:pPr>
      <w:r w:rsidRPr="00BF0E9D">
        <w:rPr>
          <w:rFonts w:ascii="Cambria" w:hAnsi="Cambria"/>
        </w:rPr>
        <w:t xml:space="preserve"> </w:t>
      </w:r>
      <w:bookmarkStart w:id="85" w:name="_Toc531271168"/>
      <w:bookmarkStart w:id="86" w:name="_Toc25850970"/>
      <w:r w:rsidR="00AB7253" w:rsidRPr="00BF0E9D">
        <w:rPr>
          <w:rFonts w:ascii="Cambria" w:hAnsi="Cambria"/>
          <w:sz w:val="24"/>
          <w:szCs w:val="24"/>
          <w:lang w:val="en-GB"/>
        </w:rPr>
        <w:t>Demand Charges and Monthly Minimum Fixed Charges</w:t>
      </w:r>
      <w:bookmarkEnd w:id="85"/>
      <w:bookmarkEnd w:id="86"/>
    </w:p>
    <w:p w:rsidR="00711DA7" w:rsidRPr="00711DA7" w:rsidRDefault="00711DA7" w:rsidP="00711DA7">
      <w:pPr>
        <w:pStyle w:val="ListParagraph"/>
        <w:spacing w:line="360" w:lineRule="auto"/>
        <w:ind w:left="360"/>
        <w:jc w:val="both"/>
        <w:rPr>
          <w:rFonts w:ascii="Cambria" w:hAnsi="Cambria" w:cs="Arial"/>
          <w:sz w:val="24"/>
          <w:szCs w:val="24"/>
        </w:rPr>
      </w:pPr>
      <w:r w:rsidRPr="00711DA7">
        <w:rPr>
          <w:rFonts w:ascii="Cambria" w:hAnsi="Cambria" w:cs="Arial"/>
          <w:sz w:val="24"/>
          <w:szCs w:val="24"/>
        </w:rPr>
        <w:t xml:space="preserve">The Utility submits that 90% of the Distribution costs are fixed cost in nature. The distribution cost of the License which is a fixed cost has increased many folds during the recent years, the said cost normally required to be recovered from the Demand Charges. The fixed cost of the power procurement by way of payment towards capacity charges has also increased during last few years. </w:t>
      </w:r>
      <w:r w:rsidRPr="00C319F4">
        <w:rPr>
          <w:rFonts w:ascii="Cambria" w:hAnsi="Cambria" w:cs="Arial"/>
          <w:sz w:val="24"/>
          <w:szCs w:val="24"/>
        </w:rPr>
        <w:t>The revenue recovery on account of the demand charges and monthly minimum fixed charges is approximately Rs.</w:t>
      </w:r>
      <w:r w:rsidR="00C319F4" w:rsidRPr="00C319F4">
        <w:rPr>
          <w:rFonts w:ascii="Cambria" w:hAnsi="Cambria" w:cs="Arial"/>
          <w:sz w:val="24"/>
          <w:szCs w:val="24"/>
        </w:rPr>
        <w:t>297.66</w:t>
      </w:r>
      <w:r w:rsidRPr="00C319F4">
        <w:rPr>
          <w:rFonts w:ascii="Cambria" w:hAnsi="Cambria" w:cs="Arial"/>
          <w:sz w:val="24"/>
          <w:szCs w:val="24"/>
        </w:rPr>
        <w:t xml:space="preserve"> crore for the ensuing year at the existing tariff whereas the fixed distribution cost is around Rs.</w:t>
      </w:r>
      <w:r w:rsidR="00C319F4" w:rsidRPr="00C319F4">
        <w:rPr>
          <w:rFonts w:ascii="Cambria" w:hAnsi="Cambria" w:cs="Arial"/>
          <w:sz w:val="24"/>
          <w:szCs w:val="24"/>
        </w:rPr>
        <w:t xml:space="preserve"> 664.81</w:t>
      </w:r>
      <w:r w:rsidRPr="00C319F4">
        <w:rPr>
          <w:rFonts w:ascii="Cambria" w:hAnsi="Cambria" w:cs="Arial"/>
          <w:sz w:val="24"/>
          <w:szCs w:val="24"/>
        </w:rPr>
        <w:t xml:space="preserve"> crore (Employee cost, R&amp;M, A&amp;G and Interest cost) which is almost 2 times of the amount of recovery.</w:t>
      </w:r>
      <w:r w:rsidRPr="00711DA7">
        <w:rPr>
          <w:rFonts w:ascii="Cambria" w:hAnsi="Cambria" w:cs="Arial"/>
          <w:sz w:val="24"/>
          <w:szCs w:val="24"/>
        </w:rPr>
        <w:t xml:space="preserve"> </w:t>
      </w:r>
    </w:p>
    <w:p w:rsidR="00AB7253" w:rsidRDefault="00AB7253" w:rsidP="00AB7253">
      <w:pPr>
        <w:pStyle w:val="ListParagraph"/>
        <w:ind w:left="360"/>
        <w:rPr>
          <w:rFonts w:ascii="Cambria" w:hAnsi="Cambria" w:cs="Arial"/>
          <w:b/>
          <w:sz w:val="24"/>
          <w:szCs w:val="24"/>
        </w:rPr>
      </w:pPr>
    </w:p>
    <w:p w:rsidR="00AB7253" w:rsidRPr="00AB7253" w:rsidRDefault="00AB7253" w:rsidP="00AB7253">
      <w:pPr>
        <w:pStyle w:val="ListParagraph"/>
        <w:ind w:left="360"/>
        <w:rPr>
          <w:sz w:val="24"/>
          <w:szCs w:val="24"/>
          <w:lang w:val="en-GB"/>
        </w:rPr>
      </w:pPr>
      <w:r w:rsidRPr="00AB7253">
        <w:rPr>
          <w:rFonts w:ascii="Cambria" w:hAnsi="Cambria" w:cs="Arial"/>
          <w:b/>
          <w:sz w:val="24"/>
          <w:szCs w:val="24"/>
        </w:rPr>
        <w:lastRenderedPageBreak/>
        <w:t>In view of the above, the Utility proposes to recover the full fixed distribution costs by suitably revising the Demand charges and monthly minimum fixed charges as proposed in earlier section , as applicable to the respectively category during the ensuing year.</w:t>
      </w:r>
    </w:p>
    <w:p w:rsidR="00EC7A5C" w:rsidRPr="00882C8E" w:rsidRDefault="00616E12" w:rsidP="006935E2">
      <w:pPr>
        <w:pStyle w:val="Heading1"/>
        <w:numPr>
          <w:ilvl w:val="1"/>
          <w:numId w:val="13"/>
        </w:numPr>
        <w:spacing w:line="360" w:lineRule="auto"/>
        <w:jc w:val="both"/>
        <w:rPr>
          <w:sz w:val="24"/>
          <w:szCs w:val="24"/>
        </w:rPr>
      </w:pPr>
      <w:bookmarkStart w:id="87" w:name="_Toc25850971"/>
      <w:r w:rsidRPr="00882C8E">
        <w:rPr>
          <w:rFonts w:ascii="Cambria" w:hAnsi="Cambria"/>
          <w:color w:val="000000"/>
          <w:sz w:val="24"/>
          <w:szCs w:val="24"/>
          <w:lang w:val="en-GB"/>
        </w:rPr>
        <w:t>Introduction of Amnesty arrear clearance scheme for LT non industrial category of consumer.</w:t>
      </w:r>
      <w:bookmarkEnd w:id="87"/>
      <w:r w:rsidR="00EC7A5C" w:rsidRPr="00882C8E">
        <w:rPr>
          <w:sz w:val="24"/>
          <w:szCs w:val="24"/>
        </w:rPr>
        <w:t xml:space="preserve"> </w:t>
      </w:r>
    </w:p>
    <w:p w:rsidR="00616E12" w:rsidRPr="00504CA0" w:rsidRDefault="00616E12" w:rsidP="00616E12">
      <w:pPr>
        <w:spacing w:line="360" w:lineRule="auto"/>
        <w:jc w:val="both"/>
        <w:rPr>
          <w:rFonts w:asciiTheme="majorHAnsi" w:hAnsiTheme="majorHAnsi"/>
        </w:rPr>
      </w:pPr>
      <w:r w:rsidRPr="00504CA0">
        <w:rPr>
          <w:rFonts w:asciiTheme="majorHAnsi" w:hAnsiTheme="majorHAnsi"/>
        </w:rPr>
        <w:t>Presently, the utility is having outstanding of more than Rs.</w:t>
      </w:r>
      <w:r w:rsidR="00504CA0">
        <w:rPr>
          <w:rFonts w:asciiTheme="majorHAnsi" w:hAnsiTheme="majorHAnsi"/>
        </w:rPr>
        <w:t>1959</w:t>
      </w:r>
      <w:r w:rsidRPr="00504CA0">
        <w:rPr>
          <w:rFonts w:asciiTheme="majorHAnsi" w:hAnsiTheme="majorHAnsi"/>
        </w:rPr>
        <w:t xml:space="preserve"> crores </w:t>
      </w:r>
      <w:r w:rsidR="00DF159F" w:rsidRPr="00504CA0">
        <w:rPr>
          <w:rFonts w:asciiTheme="majorHAnsi" w:hAnsiTheme="majorHAnsi"/>
        </w:rPr>
        <w:t xml:space="preserve">under LT non industrial category </w:t>
      </w:r>
      <w:r w:rsidRPr="00504CA0">
        <w:rPr>
          <w:rFonts w:asciiTheme="majorHAnsi" w:hAnsiTheme="majorHAnsi"/>
        </w:rPr>
        <w:t>as on 30</w:t>
      </w:r>
      <w:r w:rsidRPr="00504CA0">
        <w:rPr>
          <w:rFonts w:asciiTheme="majorHAnsi" w:hAnsiTheme="majorHAnsi"/>
          <w:vertAlign w:val="superscript"/>
        </w:rPr>
        <w:t>th</w:t>
      </w:r>
      <w:r w:rsidRPr="00504CA0">
        <w:rPr>
          <w:rFonts w:asciiTheme="majorHAnsi" w:hAnsiTheme="majorHAnsi"/>
        </w:rPr>
        <w:t xml:space="preserve"> </w:t>
      </w:r>
      <w:r w:rsidR="00DF159F" w:rsidRPr="00504CA0">
        <w:rPr>
          <w:rFonts w:asciiTheme="majorHAnsi" w:hAnsiTheme="majorHAnsi"/>
        </w:rPr>
        <w:t>S</w:t>
      </w:r>
      <w:r w:rsidRPr="00504CA0">
        <w:rPr>
          <w:rFonts w:asciiTheme="majorHAnsi" w:hAnsiTheme="majorHAnsi"/>
        </w:rPr>
        <w:t>ep-201</w:t>
      </w:r>
      <w:r w:rsidR="00504CA0" w:rsidRPr="00504CA0">
        <w:rPr>
          <w:rFonts w:asciiTheme="majorHAnsi" w:hAnsiTheme="majorHAnsi"/>
        </w:rPr>
        <w:t>9</w:t>
      </w:r>
      <w:r w:rsidRPr="00504CA0">
        <w:rPr>
          <w:rFonts w:asciiTheme="majorHAnsi" w:hAnsiTheme="majorHAnsi"/>
        </w:rPr>
        <w:t xml:space="preserve">. Out of the same </w:t>
      </w:r>
      <w:r w:rsidR="00FE6E4B" w:rsidRPr="00504CA0">
        <w:rPr>
          <w:rFonts w:asciiTheme="majorHAnsi" w:hAnsiTheme="majorHAnsi"/>
        </w:rPr>
        <w:t xml:space="preserve">around </w:t>
      </w:r>
      <w:r w:rsidRPr="00504CA0">
        <w:rPr>
          <w:rFonts w:asciiTheme="majorHAnsi" w:hAnsiTheme="majorHAnsi"/>
        </w:rPr>
        <w:t>Rs.</w:t>
      </w:r>
      <w:r w:rsidR="00504CA0">
        <w:rPr>
          <w:rFonts w:asciiTheme="majorHAnsi" w:hAnsiTheme="majorHAnsi"/>
        </w:rPr>
        <w:t xml:space="preserve"> 334</w:t>
      </w:r>
      <w:r w:rsidRPr="00504CA0">
        <w:rPr>
          <w:rFonts w:asciiTheme="majorHAnsi" w:hAnsiTheme="majorHAnsi"/>
        </w:rPr>
        <w:t xml:space="preserve"> crs are under disconnected category. Most of the consumers</w:t>
      </w:r>
      <w:r w:rsidR="00DF159F" w:rsidRPr="00504CA0">
        <w:rPr>
          <w:rFonts w:asciiTheme="majorHAnsi" w:hAnsiTheme="majorHAnsi"/>
        </w:rPr>
        <w:t>,</w:t>
      </w:r>
      <w:r w:rsidRPr="00504CA0">
        <w:rPr>
          <w:rFonts w:asciiTheme="majorHAnsi" w:hAnsiTheme="majorHAnsi"/>
        </w:rPr>
        <w:t xml:space="preserve"> after accumulation of huge outstanding are trying to get another connection and putting the other one under Permanently Disconnected Consumers (PDC). The utility is </w:t>
      </w:r>
      <w:r w:rsidR="00DB0C88" w:rsidRPr="00504CA0">
        <w:rPr>
          <w:rFonts w:asciiTheme="majorHAnsi" w:hAnsiTheme="majorHAnsi"/>
        </w:rPr>
        <w:t>also suffering from huge financial loss on account of low collection efficiency and coverage in Domestic and Commercial category of consumers. Hon’ble Commission has also directed to conduct receivable audit of the outstanding amount as on 31.03.2015</w:t>
      </w:r>
      <w:r w:rsidR="00DF159F" w:rsidRPr="00504CA0">
        <w:rPr>
          <w:rFonts w:asciiTheme="majorHAnsi" w:hAnsiTheme="majorHAnsi"/>
        </w:rPr>
        <w:t xml:space="preserve"> of the utilities </w:t>
      </w:r>
      <w:r w:rsidR="00DB0C88" w:rsidRPr="00504CA0">
        <w:rPr>
          <w:rFonts w:asciiTheme="majorHAnsi" w:hAnsiTheme="majorHAnsi"/>
        </w:rPr>
        <w:t>through Charte</w:t>
      </w:r>
      <w:r w:rsidR="00C319F4" w:rsidRPr="00504CA0">
        <w:rPr>
          <w:rFonts w:asciiTheme="majorHAnsi" w:hAnsiTheme="majorHAnsi"/>
        </w:rPr>
        <w:t>red</w:t>
      </w:r>
      <w:r w:rsidR="00DB0C88" w:rsidRPr="00504CA0">
        <w:rPr>
          <w:rFonts w:asciiTheme="majorHAnsi" w:hAnsiTheme="majorHAnsi"/>
        </w:rPr>
        <w:t xml:space="preserve"> Accountant</w:t>
      </w:r>
      <w:r w:rsidR="00C319F4" w:rsidRPr="00504CA0">
        <w:rPr>
          <w:rFonts w:asciiTheme="majorHAnsi" w:hAnsiTheme="majorHAnsi"/>
        </w:rPr>
        <w:t>s and Cost A</w:t>
      </w:r>
      <w:r w:rsidR="00DB0C88" w:rsidRPr="00504CA0">
        <w:rPr>
          <w:rFonts w:asciiTheme="majorHAnsi" w:hAnsiTheme="majorHAnsi"/>
        </w:rPr>
        <w:t xml:space="preserve">ccountants. </w:t>
      </w:r>
      <w:r w:rsidR="0012476E">
        <w:rPr>
          <w:rFonts w:asciiTheme="majorHAnsi" w:hAnsiTheme="majorHAnsi"/>
        </w:rPr>
        <w:t>Now they have</w:t>
      </w:r>
      <w:r w:rsidR="00F404F6" w:rsidRPr="00504CA0">
        <w:rPr>
          <w:rFonts w:asciiTheme="majorHAnsi" w:hAnsiTheme="majorHAnsi"/>
        </w:rPr>
        <w:t xml:space="preserve"> submitt</w:t>
      </w:r>
      <w:r w:rsidR="0012476E">
        <w:rPr>
          <w:rFonts w:asciiTheme="majorHAnsi" w:hAnsiTheme="majorHAnsi"/>
        </w:rPr>
        <w:t>ed</w:t>
      </w:r>
      <w:r w:rsidR="00FE6E4B" w:rsidRPr="00504CA0">
        <w:rPr>
          <w:rFonts w:asciiTheme="majorHAnsi" w:hAnsiTheme="majorHAnsi"/>
        </w:rPr>
        <w:t xml:space="preserve"> their reports</w:t>
      </w:r>
      <w:r w:rsidR="00DB0C88" w:rsidRPr="00504CA0">
        <w:rPr>
          <w:rFonts w:asciiTheme="majorHAnsi" w:hAnsiTheme="majorHAnsi"/>
        </w:rPr>
        <w:t>. Considering th</w:t>
      </w:r>
      <w:r w:rsidR="00DF159F" w:rsidRPr="00504CA0">
        <w:rPr>
          <w:rFonts w:asciiTheme="majorHAnsi" w:hAnsiTheme="majorHAnsi"/>
        </w:rPr>
        <w:t>e same, it is submitted before H</w:t>
      </w:r>
      <w:r w:rsidR="00DB0C88" w:rsidRPr="00504CA0">
        <w:rPr>
          <w:rFonts w:asciiTheme="majorHAnsi" w:hAnsiTheme="majorHAnsi"/>
        </w:rPr>
        <w:t xml:space="preserve">on’ble commission to approve </w:t>
      </w:r>
      <w:r w:rsidR="00DF159F" w:rsidRPr="00504CA0">
        <w:rPr>
          <w:rFonts w:asciiTheme="majorHAnsi" w:hAnsiTheme="majorHAnsi"/>
        </w:rPr>
        <w:t xml:space="preserve">an arrear collection scheme for LT non industrial category of consumers in line with OTS scheme earlier approved for FY 2011-12. Depending upon the outstanding and paying ability of the consumer’s 6 to 12 monthly installments may be fixed to clear the outstanding and avail benefit of withdrawal of DPS and certain percentage of </w:t>
      </w:r>
      <w:r w:rsidR="009D5F78" w:rsidRPr="00504CA0">
        <w:rPr>
          <w:rFonts w:asciiTheme="majorHAnsi" w:hAnsiTheme="majorHAnsi"/>
        </w:rPr>
        <w:t>waival</w:t>
      </w:r>
      <w:r w:rsidR="00DF159F" w:rsidRPr="00504CA0">
        <w:rPr>
          <w:rFonts w:asciiTheme="majorHAnsi" w:hAnsiTheme="majorHAnsi"/>
        </w:rPr>
        <w:t xml:space="preserve"> on outstanding amount. As</w:t>
      </w:r>
      <w:r w:rsidR="00430A55" w:rsidRPr="00504CA0">
        <w:rPr>
          <w:rFonts w:asciiTheme="majorHAnsi" w:hAnsiTheme="majorHAnsi"/>
        </w:rPr>
        <w:t xml:space="preserve"> a</w:t>
      </w:r>
      <w:r w:rsidR="00DF159F" w:rsidRPr="00504CA0">
        <w:rPr>
          <w:rFonts w:asciiTheme="majorHAnsi" w:hAnsiTheme="majorHAnsi"/>
        </w:rPr>
        <w:t xml:space="preserve"> result cash flow of the </w:t>
      </w:r>
      <w:r w:rsidR="006C38E9" w:rsidRPr="00504CA0">
        <w:rPr>
          <w:rFonts w:asciiTheme="majorHAnsi" w:hAnsiTheme="majorHAnsi"/>
        </w:rPr>
        <w:t>Utility</w:t>
      </w:r>
      <w:r w:rsidR="00DF159F" w:rsidRPr="00504CA0">
        <w:rPr>
          <w:rFonts w:asciiTheme="majorHAnsi" w:hAnsiTheme="majorHAnsi"/>
        </w:rPr>
        <w:t xml:space="preserve"> will improve and able to clear it</w:t>
      </w:r>
      <w:r w:rsidR="00FE6E4B" w:rsidRPr="00504CA0">
        <w:rPr>
          <w:rFonts w:asciiTheme="majorHAnsi" w:hAnsiTheme="majorHAnsi"/>
        </w:rPr>
        <w:t>’</w:t>
      </w:r>
      <w:r w:rsidR="00DF159F" w:rsidRPr="00504CA0">
        <w:rPr>
          <w:rFonts w:asciiTheme="majorHAnsi" w:hAnsiTheme="majorHAnsi"/>
        </w:rPr>
        <w:t>s outstanding dues to GRIDCO as well as Employees terminal liabilities.</w:t>
      </w:r>
      <w:r w:rsidR="00FE6E4B" w:rsidRPr="00504CA0">
        <w:rPr>
          <w:rFonts w:asciiTheme="majorHAnsi" w:hAnsiTheme="majorHAnsi"/>
        </w:rPr>
        <w:t xml:space="preserve"> The utility has submitted in last year ARR regarding the same. However, Hon’ble Commission has denied the same citing effectiveness of the scheme. However, considering present accumulated outstanding and reports of the receivable auditors Hon’ble Commission may relook into the matter.</w:t>
      </w:r>
    </w:p>
    <w:p w:rsidR="009E0A9B" w:rsidRPr="003D2AC4" w:rsidRDefault="00FE2B94" w:rsidP="006935E2">
      <w:pPr>
        <w:pStyle w:val="Heading1"/>
        <w:numPr>
          <w:ilvl w:val="0"/>
          <w:numId w:val="9"/>
        </w:numPr>
        <w:spacing w:line="360" w:lineRule="auto"/>
        <w:jc w:val="both"/>
        <w:rPr>
          <w:rFonts w:ascii="Cambria" w:hAnsi="Cambria"/>
          <w:sz w:val="28"/>
          <w:szCs w:val="28"/>
        </w:rPr>
      </w:pPr>
      <w:bookmarkStart w:id="88" w:name="_Toc25850972"/>
      <w:r w:rsidRPr="003D2AC4">
        <w:rPr>
          <w:rFonts w:ascii="Cambria" w:hAnsi="Cambria"/>
          <w:sz w:val="28"/>
          <w:szCs w:val="28"/>
        </w:rPr>
        <w:t>Other Issues</w:t>
      </w:r>
      <w:bookmarkEnd w:id="88"/>
      <w:r w:rsidRPr="003D2AC4">
        <w:rPr>
          <w:rFonts w:ascii="Cambria" w:hAnsi="Cambria"/>
          <w:sz w:val="28"/>
          <w:szCs w:val="28"/>
        </w:rPr>
        <w:t xml:space="preserve"> </w:t>
      </w:r>
    </w:p>
    <w:p w:rsidR="009E0A9B" w:rsidRPr="00C81895" w:rsidRDefault="009E0A9B" w:rsidP="006935E2">
      <w:pPr>
        <w:pStyle w:val="Heading1"/>
        <w:numPr>
          <w:ilvl w:val="1"/>
          <w:numId w:val="14"/>
        </w:numPr>
        <w:spacing w:line="360" w:lineRule="auto"/>
        <w:jc w:val="both"/>
        <w:rPr>
          <w:rFonts w:ascii="Cambria" w:hAnsi="Cambria"/>
          <w:sz w:val="24"/>
          <w:szCs w:val="24"/>
        </w:rPr>
      </w:pPr>
      <w:bookmarkStart w:id="89" w:name="_Toc25850973"/>
      <w:r w:rsidRPr="00C81895">
        <w:rPr>
          <w:rFonts w:ascii="Cambria" w:hAnsi="Cambria"/>
          <w:sz w:val="24"/>
          <w:szCs w:val="24"/>
        </w:rPr>
        <w:t>Rebate on Prompt Payment</w:t>
      </w:r>
      <w:bookmarkEnd w:id="89"/>
    </w:p>
    <w:p w:rsidR="009E0A9B" w:rsidRPr="00C81895" w:rsidRDefault="00C81895" w:rsidP="00B91F1C">
      <w:pPr>
        <w:spacing w:line="360" w:lineRule="auto"/>
        <w:jc w:val="both"/>
        <w:rPr>
          <w:rFonts w:ascii="Cambria" w:hAnsi="Cambria" w:cs="Arial"/>
        </w:rPr>
      </w:pPr>
      <w:r>
        <w:rPr>
          <w:rFonts w:ascii="Cambria" w:hAnsi="Cambria" w:cs="Arial"/>
        </w:rPr>
        <w:t>I</w:t>
      </w:r>
      <w:r w:rsidR="00FB208C" w:rsidRPr="00C81895">
        <w:rPr>
          <w:rFonts w:ascii="Cambria" w:hAnsi="Cambria" w:cs="Arial"/>
        </w:rPr>
        <w:t xml:space="preserve">n </w:t>
      </w:r>
      <w:r>
        <w:rPr>
          <w:rFonts w:ascii="Cambria" w:hAnsi="Cambria" w:cs="Arial"/>
        </w:rPr>
        <w:t xml:space="preserve">the </w:t>
      </w:r>
      <w:r w:rsidR="00FB208C" w:rsidRPr="00C81895">
        <w:rPr>
          <w:rFonts w:ascii="Cambria" w:hAnsi="Cambria" w:cs="Arial"/>
        </w:rPr>
        <w:t>BSP Order for the  financial year 201</w:t>
      </w:r>
      <w:r w:rsidR="00E17B06">
        <w:rPr>
          <w:rFonts w:ascii="Cambria" w:hAnsi="Cambria" w:cs="Arial"/>
        </w:rPr>
        <w:t>9-20</w:t>
      </w:r>
      <w:r w:rsidR="003D1290">
        <w:rPr>
          <w:rFonts w:ascii="Cambria" w:hAnsi="Cambria" w:cs="Arial"/>
        </w:rPr>
        <w:t xml:space="preserve"> </w:t>
      </w:r>
      <w:r>
        <w:rPr>
          <w:rFonts w:ascii="Cambria" w:hAnsi="Cambria" w:cs="Arial"/>
        </w:rPr>
        <w:t xml:space="preserve"> the Hon`ble Commission </w:t>
      </w:r>
      <w:r w:rsidR="00FB208C" w:rsidRPr="00C81895">
        <w:rPr>
          <w:rFonts w:ascii="Cambria" w:hAnsi="Cambria" w:cs="Arial"/>
        </w:rPr>
        <w:t xml:space="preserve">directed that the </w:t>
      </w:r>
      <w:r w:rsidR="006C38E9">
        <w:rPr>
          <w:rFonts w:ascii="Cambria" w:hAnsi="Cambria" w:cs="Arial"/>
        </w:rPr>
        <w:t>Utility</w:t>
      </w:r>
      <w:r w:rsidR="00FB208C" w:rsidRPr="00C81895">
        <w:rPr>
          <w:rFonts w:ascii="Cambria" w:hAnsi="Cambria" w:cs="Arial"/>
        </w:rPr>
        <w:t xml:space="preserve"> is entitled to avail a rebate of 2% for prompt payment of BST bill on payment of current BST in full within two working days of presentation of BST Bills and 1% is paid within 30 days.  Further, the Hon’ble Commission had directed to pay the rebate to all consumers except domestic, general purpose, irrigation and small industry category, if </w:t>
      </w:r>
      <w:r w:rsidR="00FB208C" w:rsidRPr="00C81895">
        <w:rPr>
          <w:rFonts w:ascii="Cambria" w:hAnsi="Cambria" w:cs="Arial"/>
        </w:rPr>
        <w:lastRenderedPageBreak/>
        <w:t>payment is made within three days of presentation of bill and fifteen days in case of others.</w:t>
      </w:r>
    </w:p>
    <w:p w:rsidR="009E0A9B" w:rsidRDefault="00FB208C" w:rsidP="00B91F1C">
      <w:pPr>
        <w:spacing w:line="360" w:lineRule="auto"/>
        <w:jc w:val="both"/>
        <w:rPr>
          <w:rFonts w:ascii="Cambria" w:hAnsi="Cambria" w:cs="Arial"/>
        </w:rPr>
      </w:pPr>
      <w:r w:rsidRPr="00C81895">
        <w:rPr>
          <w:rFonts w:ascii="Cambria" w:hAnsi="Cambria" w:cs="Arial"/>
        </w:rPr>
        <w:t xml:space="preserve">Considering the above, it is prayed before the Hon’ble Commission to approve the rebate of 2% to the </w:t>
      </w:r>
      <w:r w:rsidR="006C38E9">
        <w:rPr>
          <w:rFonts w:ascii="Cambria" w:hAnsi="Cambria" w:cs="Arial"/>
        </w:rPr>
        <w:t>Utility</w:t>
      </w:r>
      <w:r w:rsidRPr="00C81895">
        <w:rPr>
          <w:rFonts w:ascii="Cambria" w:hAnsi="Cambria" w:cs="Arial"/>
        </w:rPr>
        <w:t xml:space="preserve"> for prompt payment towards BST bills including part payments within 3 (three) working days from the date of presentation of the BST bill and in case the BST bill is paid after 3 (three) days the rebate should be proportionately allowed to the extent of payment made within 30</w:t>
      </w:r>
      <w:r w:rsidRPr="00C81895">
        <w:rPr>
          <w:rFonts w:ascii="Cambria" w:hAnsi="Cambria" w:cs="Arial"/>
          <w:vertAlign w:val="superscript"/>
        </w:rPr>
        <w:t>th</w:t>
      </w:r>
      <w:r w:rsidRPr="00C81895">
        <w:rPr>
          <w:rFonts w:ascii="Cambria" w:hAnsi="Cambria" w:cs="Arial"/>
        </w:rPr>
        <w:t xml:space="preserve"> day @1% akin to Rebate Policy on Rebate is provided to GRIDCO by NTPC.</w:t>
      </w:r>
      <w:r w:rsidR="009E0A9B" w:rsidRPr="00BF0E9D">
        <w:rPr>
          <w:rFonts w:ascii="Cambria" w:hAnsi="Cambria" w:cs="Arial"/>
        </w:rPr>
        <w:t xml:space="preserve"> </w:t>
      </w:r>
    </w:p>
    <w:p w:rsidR="00C81895" w:rsidRDefault="00C81895" w:rsidP="00B91F1C">
      <w:pPr>
        <w:spacing w:line="360" w:lineRule="auto"/>
        <w:jc w:val="both"/>
        <w:rPr>
          <w:rFonts w:ascii="Cambria" w:hAnsi="Cambria" w:cs="Arial"/>
          <w:b/>
        </w:rPr>
      </w:pPr>
      <w:r w:rsidRPr="00C81895">
        <w:rPr>
          <w:rFonts w:ascii="Cambria" w:hAnsi="Cambria" w:cs="Arial"/>
          <w:b/>
        </w:rPr>
        <w:t xml:space="preserve">It is further submitted that when </w:t>
      </w:r>
      <w:r w:rsidR="006C38E9">
        <w:rPr>
          <w:rFonts w:ascii="Cambria" w:hAnsi="Cambria" w:cs="Arial"/>
          <w:b/>
        </w:rPr>
        <w:t xml:space="preserve">utilities </w:t>
      </w:r>
      <w:r w:rsidRPr="00C81895">
        <w:rPr>
          <w:rFonts w:ascii="Cambria" w:hAnsi="Cambria" w:cs="Arial"/>
          <w:b/>
        </w:rPr>
        <w:t xml:space="preserve"> are extending rebate on prompt payment to consumers on the current bill ( excluding all arrears), they are not being allowed rebate on prompt payment of current BSP bill on the pretext of arrears </w:t>
      </w:r>
      <w:r w:rsidR="006C38E9">
        <w:rPr>
          <w:rFonts w:ascii="Cambria" w:hAnsi="Cambria" w:cs="Arial"/>
          <w:b/>
        </w:rPr>
        <w:t>which are disputed. The Utilities</w:t>
      </w:r>
      <w:r w:rsidRPr="00C81895">
        <w:rPr>
          <w:rFonts w:ascii="Cambria" w:hAnsi="Cambria" w:cs="Arial"/>
          <w:b/>
        </w:rPr>
        <w:t xml:space="preserve"> pray for parity in treatment regarding rebate on prompt payment on current bill (excluding arrears)</w:t>
      </w:r>
    </w:p>
    <w:p w:rsidR="006040B4" w:rsidRDefault="006040B4" w:rsidP="00B91F1C">
      <w:pPr>
        <w:spacing w:line="360" w:lineRule="auto"/>
        <w:jc w:val="both"/>
        <w:rPr>
          <w:rFonts w:ascii="Cambria" w:hAnsi="Cambria" w:cs="Arial"/>
          <w:b/>
        </w:rPr>
      </w:pPr>
    </w:p>
    <w:p w:rsidR="006040B4" w:rsidRDefault="006040B4" w:rsidP="00B91F1C">
      <w:pPr>
        <w:spacing w:line="360" w:lineRule="auto"/>
        <w:jc w:val="both"/>
        <w:rPr>
          <w:rFonts w:ascii="Cambria" w:hAnsi="Cambria" w:cs="Arial"/>
          <w:b/>
        </w:rPr>
      </w:pPr>
      <w:r>
        <w:rPr>
          <w:rFonts w:ascii="Cambria" w:hAnsi="Cambria" w:cs="Arial"/>
          <w:b/>
        </w:rPr>
        <w:t>In addition to above rebate may kindly be also permitted in case of part payment so that cash flow of the Bulk Supplier will improve and at the same time the utility would be tempted to remit the amount collected to GRIDCO to avail such benefit.</w:t>
      </w:r>
    </w:p>
    <w:p w:rsidR="003D1290" w:rsidRDefault="003D1290" w:rsidP="00B91F1C">
      <w:pPr>
        <w:spacing w:line="360" w:lineRule="auto"/>
        <w:jc w:val="both"/>
        <w:rPr>
          <w:rFonts w:ascii="Cambria" w:hAnsi="Cambria" w:cs="Arial"/>
          <w:b/>
        </w:rPr>
      </w:pPr>
    </w:p>
    <w:p w:rsidR="003D1290" w:rsidRDefault="003D1290" w:rsidP="003D1290">
      <w:pPr>
        <w:spacing w:line="360" w:lineRule="auto"/>
        <w:jc w:val="both"/>
        <w:rPr>
          <w:rFonts w:ascii="Cambria" w:hAnsi="Cambria" w:cs="Arial"/>
          <w:b/>
        </w:rPr>
      </w:pPr>
      <w:r>
        <w:rPr>
          <w:rFonts w:ascii="Cambria" w:hAnsi="Cambria" w:cs="Arial"/>
          <w:b/>
        </w:rPr>
        <w:t>DISCOMS are paying interest towards LC and SOD charges for payment of BST and transmission charges, but Hon’ble commission is not approving the same. One way DISCOMs are not getting rebate and in other way interest on working capital requirement is being disallowed which is not justified.</w:t>
      </w:r>
    </w:p>
    <w:p w:rsidR="00A83709" w:rsidRPr="00A83709" w:rsidRDefault="00A83709" w:rsidP="006935E2">
      <w:pPr>
        <w:pStyle w:val="Heading1"/>
        <w:numPr>
          <w:ilvl w:val="1"/>
          <w:numId w:val="14"/>
        </w:numPr>
        <w:spacing w:line="360" w:lineRule="auto"/>
        <w:jc w:val="both"/>
        <w:rPr>
          <w:rFonts w:ascii="Cambria" w:hAnsi="Cambria"/>
          <w:sz w:val="24"/>
          <w:szCs w:val="24"/>
        </w:rPr>
      </w:pPr>
      <w:bookmarkStart w:id="90" w:name="_Toc25850974"/>
      <w:r w:rsidRPr="00A83709">
        <w:rPr>
          <w:rFonts w:ascii="Cambria" w:hAnsi="Cambria"/>
          <w:sz w:val="24"/>
          <w:szCs w:val="24"/>
        </w:rPr>
        <w:t>Overdrawal beyond contract demand and charges thereof.</w:t>
      </w:r>
      <w:bookmarkEnd w:id="90"/>
    </w:p>
    <w:p w:rsidR="00A83709" w:rsidRDefault="00A83709" w:rsidP="00A83709">
      <w:pPr>
        <w:jc w:val="both"/>
        <w:rPr>
          <w:rFonts w:ascii="Bookman Old Style" w:hAnsi="Bookman Old Style"/>
        </w:rPr>
      </w:pPr>
    </w:p>
    <w:p w:rsidR="004734BB" w:rsidRPr="00F404F6" w:rsidRDefault="004734BB" w:rsidP="004E01D9">
      <w:pPr>
        <w:spacing w:line="360" w:lineRule="auto"/>
        <w:ind w:left="360"/>
        <w:jc w:val="both"/>
        <w:rPr>
          <w:rFonts w:asciiTheme="majorHAnsi" w:hAnsiTheme="majorHAnsi"/>
        </w:rPr>
      </w:pPr>
      <w:r w:rsidRPr="00F404F6">
        <w:rPr>
          <w:rFonts w:asciiTheme="majorHAnsi" w:hAnsiTheme="majorHAnsi"/>
        </w:rPr>
        <w:t xml:space="preserve">Post-Sitaram Rice Mill Judgment (Civil Appeal No.8859 of 2011) the definition of ‘Unauthorized Use’ of electricity as explained under the Sec.126 of the Electricity Act, 2003, has been widened by the Hon’ble Apex Court, thus covering those cases in which consumer of electricity indulges in overdrawal of energy. Since the Hon’ble Supreme Court in the said Judgment has clarified that the proceeding of assessment u/Sec.126 of the Act, 2003 is in addition to other proceedings which the Licensee is empowered to initiate against the consumer under the provisions of Regulations of the State Electricity Regulatory Commission. Thus notwithstanding the provision of ‘Overdrawal Penalty’ as stipulated by the Hon’ble Commission in its RST Orders, the </w:t>
      </w:r>
      <w:r w:rsidRPr="00F404F6">
        <w:rPr>
          <w:rFonts w:asciiTheme="majorHAnsi" w:hAnsiTheme="majorHAnsi"/>
        </w:rPr>
        <w:lastRenderedPageBreak/>
        <w:t xml:space="preserve">Utility was empowered to initiate assessment proceeding u/Sec.126 of the Act, 2003 against such consumers by virtue of the above ruling of the Hon’ble Supreme Court.  </w:t>
      </w:r>
    </w:p>
    <w:p w:rsidR="004734BB" w:rsidRPr="00F404F6" w:rsidRDefault="004734BB" w:rsidP="004E01D9">
      <w:pPr>
        <w:spacing w:line="360" w:lineRule="auto"/>
        <w:ind w:left="360"/>
        <w:jc w:val="both"/>
        <w:rPr>
          <w:rFonts w:asciiTheme="majorHAnsi" w:hAnsiTheme="majorHAnsi"/>
        </w:rPr>
      </w:pPr>
      <w:r w:rsidRPr="00F404F6">
        <w:rPr>
          <w:rFonts w:asciiTheme="majorHAnsi" w:hAnsiTheme="majorHAnsi"/>
        </w:rPr>
        <w:t>That under the above backdrop the Utility started initiating assessment proceeding as stated above against those consumers who were indulged in overdrawing load in excess of contracted load.</w:t>
      </w:r>
    </w:p>
    <w:p w:rsidR="004734BB" w:rsidRPr="00F404F6" w:rsidRDefault="004734BB" w:rsidP="004E01D9">
      <w:pPr>
        <w:spacing w:line="360" w:lineRule="auto"/>
        <w:ind w:left="360"/>
        <w:jc w:val="both"/>
        <w:rPr>
          <w:rFonts w:asciiTheme="majorHAnsi" w:hAnsiTheme="majorHAnsi"/>
        </w:rPr>
      </w:pPr>
      <w:r w:rsidRPr="00F404F6">
        <w:rPr>
          <w:rFonts w:asciiTheme="majorHAnsi" w:hAnsiTheme="majorHAnsi"/>
        </w:rPr>
        <w:t xml:space="preserve">That the Utility in its ARR for the FY-2016-2017, placed proposal for approval of its action initiated against those consumers indulging in overdrawal of energy in excess of their contracted load and also sought clarification </w:t>
      </w:r>
      <w:r w:rsidR="00890EB3" w:rsidRPr="00F404F6">
        <w:rPr>
          <w:rFonts w:asciiTheme="majorHAnsi" w:hAnsiTheme="majorHAnsi"/>
        </w:rPr>
        <w:t xml:space="preserve">with </w:t>
      </w:r>
      <w:r w:rsidRPr="00F404F6">
        <w:rPr>
          <w:rFonts w:asciiTheme="majorHAnsi" w:hAnsiTheme="majorHAnsi"/>
        </w:rPr>
        <w:t xml:space="preserve">regards </w:t>
      </w:r>
      <w:r w:rsidR="00890EB3" w:rsidRPr="00F404F6">
        <w:rPr>
          <w:rFonts w:asciiTheme="majorHAnsi" w:hAnsiTheme="majorHAnsi"/>
        </w:rPr>
        <w:t xml:space="preserve">to </w:t>
      </w:r>
      <w:r w:rsidRPr="00F404F6">
        <w:rPr>
          <w:rFonts w:asciiTheme="majorHAnsi" w:hAnsiTheme="majorHAnsi"/>
        </w:rPr>
        <w:t>such assessment in addition to payment of overdrawal charges by such consumers in terms of the RST Orders of the Hon’ble Commission</w:t>
      </w:r>
      <w:r w:rsidR="0096001D" w:rsidRPr="00F404F6">
        <w:rPr>
          <w:rFonts w:asciiTheme="majorHAnsi" w:hAnsiTheme="majorHAnsi"/>
        </w:rPr>
        <w:t xml:space="preserve"> for FY 2015-16 vide para 335</w:t>
      </w:r>
      <w:r w:rsidRPr="00F404F6">
        <w:rPr>
          <w:rFonts w:asciiTheme="majorHAnsi" w:hAnsiTheme="majorHAnsi"/>
        </w:rPr>
        <w:t>. Hon’ble Commission while deliberating said issue has observed as follows;</w:t>
      </w:r>
    </w:p>
    <w:p w:rsidR="0096001D" w:rsidRPr="00F404F6" w:rsidRDefault="0096001D" w:rsidP="0096001D">
      <w:pPr>
        <w:spacing w:line="360" w:lineRule="auto"/>
        <w:ind w:left="360"/>
        <w:jc w:val="both"/>
        <w:rPr>
          <w:rFonts w:asciiTheme="majorHAnsi" w:hAnsiTheme="majorHAnsi"/>
          <w:b/>
          <w:i/>
        </w:rPr>
      </w:pPr>
      <w:r w:rsidRPr="00F404F6">
        <w:rPr>
          <w:rFonts w:asciiTheme="majorHAnsi" w:hAnsiTheme="majorHAnsi"/>
          <w:i/>
        </w:rPr>
        <w:t xml:space="preserve">……..Many objectors submitted that DISCOMs are penalizing consumers under section 126 of EA 2003 for defective meter even though they fail to replace meter in timely manner. They also submitted that undue enrichment by DISCOMs should be stopped under application of Section 126 of Indian Electricity Act 2003. It has become a common practice by the DISCOMs to disconnect power supply under Section 135 simultaneously levying penalty under section 126 due to over drawl by a consumer instead of levying overdrawal penalty under the plea of Supreme Court decision vide Civil Appeal No 5589 of 2011 wherein overdrawal has been equated to unauthorized use of electricity. In this context it is mentioned here that use of Section 126 or Section 135 for occasional overdrawal by a consumer is an action to be carefully examined by officers since there is a provision to deal with overdrawal in the tariff order. Such actions should only be justified in cases where the licensees are satisfied that the overdrawal by the consumers is unauthorised to evade the enhancement of contract demand. </w:t>
      </w:r>
      <w:r w:rsidRPr="00F404F6">
        <w:rPr>
          <w:rFonts w:asciiTheme="majorHAnsi" w:hAnsiTheme="majorHAnsi"/>
          <w:b/>
          <w:i/>
        </w:rPr>
        <w:t xml:space="preserve">Accordingly the DISCOMs are advised to exercise due diligence </w:t>
      </w:r>
      <w:r w:rsidRPr="00F404F6">
        <w:rPr>
          <w:b/>
          <w:i/>
          <w:sz w:val="23"/>
          <w:szCs w:val="23"/>
          <w:lang w:val="en-IN" w:eastAsia="en-IN"/>
        </w:rPr>
        <w:t>while using penal provision like use of Section 126 or Section 135 of the Act.</w:t>
      </w:r>
      <w:r w:rsidRPr="00F404F6">
        <w:rPr>
          <w:rFonts w:asciiTheme="majorHAnsi" w:hAnsiTheme="majorHAnsi"/>
          <w:b/>
          <w:i/>
        </w:rPr>
        <w:t xml:space="preserve"> </w:t>
      </w:r>
    </w:p>
    <w:p w:rsidR="004734BB" w:rsidRPr="00F404F6" w:rsidRDefault="004734BB" w:rsidP="0096001D">
      <w:pPr>
        <w:spacing w:line="360" w:lineRule="auto"/>
        <w:ind w:left="360"/>
        <w:jc w:val="both"/>
        <w:rPr>
          <w:rFonts w:asciiTheme="majorHAnsi" w:hAnsiTheme="majorHAnsi"/>
        </w:rPr>
      </w:pPr>
      <w:r w:rsidRPr="00F404F6">
        <w:rPr>
          <w:rFonts w:asciiTheme="majorHAnsi" w:hAnsiTheme="majorHAnsi"/>
        </w:rPr>
        <w:t xml:space="preserve">Subsequent to aforesaid observation of Hon’ble Commission, the Utility is initiating such assessment proceeding in strict adherence to the parameter set by the Hon’ble Commission. </w:t>
      </w:r>
    </w:p>
    <w:p w:rsidR="004734BB" w:rsidRPr="00F404F6" w:rsidRDefault="004734BB" w:rsidP="004E01D9">
      <w:pPr>
        <w:spacing w:line="360" w:lineRule="auto"/>
        <w:ind w:left="360"/>
        <w:jc w:val="both"/>
        <w:rPr>
          <w:rFonts w:asciiTheme="majorHAnsi" w:hAnsiTheme="majorHAnsi"/>
        </w:rPr>
      </w:pPr>
      <w:r w:rsidRPr="00F404F6">
        <w:rPr>
          <w:rFonts w:asciiTheme="majorHAnsi" w:hAnsiTheme="majorHAnsi"/>
        </w:rPr>
        <w:t xml:space="preserve">That during such assessment proceeding primarily against industrial and GP consumers, some core issues have been immerged which requires detail deliberation urging suitable intervention of this Hon’ble Commission. </w:t>
      </w:r>
      <w:r w:rsidR="008C3AA5" w:rsidRPr="00F404F6">
        <w:rPr>
          <w:rFonts w:asciiTheme="majorHAnsi" w:hAnsiTheme="majorHAnsi"/>
        </w:rPr>
        <w:t>Those</w:t>
      </w:r>
      <w:r w:rsidRPr="00F404F6">
        <w:rPr>
          <w:rFonts w:asciiTheme="majorHAnsi" w:hAnsiTheme="majorHAnsi"/>
        </w:rPr>
        <w:t xml:space="preserve"> issues are highlighted below;</w:t>
      </w:r>
    </w:p>
    <w:p w:rsidR="004734BB" w:rsidRPr="00F404F6" w:rsidRDefault="004734BB" w:rsidP="006935E2">
      <w:pPr>
        <w:pStyle w:val="ListParagraph"/>
        <w:numPr>
          <w:ilvl w:val="0"/>
          <w:numId w:val="16"/>
        </w:numPr>
        <w:spacing w:line="360" w:lineRule="auto"/>
        <w:jc w:val="both"/>
        <w:rPr>
          <w:rFonts w:asciiTheme="majorHAnsi" w:hAnsiTheme="majorHAnsi"/>
          <w:sz w:val="24"/>
          <w:szCs w:val="24"/>
        </w:rPr>
      </w:pPr>
      <w:r w:rsidRPr="00F404F6">
        <w:rPr>
          <w:rFonts w:asciiTheme="majorHAnsi" w:hAnsiTheme="majorHAnsi"/>
          <w:sz w:val="24"/>
          <w:szCs w:val="24"/>
        </w:rPr>
        <w:lastRenderedPageBreak/>
        <w:t>Whether during the pendency of assessment procedure, the Consumer can be allowed for enhancement of Contract Demand without payment of the assessment dues?</w:t>
      </w:r>
    </w:p>
    <w:p w:rsidR="004734BB" w:rsidRPr="00F404F6" w:rsidRDefault="004734BB" w:rsidP="006935E2">
      <w:pPr>
        <w:pStyle w:val="ListParagraph"/>
        <w:numPr>
          <w:ilvl w:val="0"/>
          <w:numId w:val="16"/>
        </w:numPr>
        <w:spacing w:line="360" w:lineRule="auto"/>
        <w:jc w:val="both"/>
        <w:rPr>
          <w:rFonts w:asciiTheme="majorHAnsi" w:hAnsiTheme="majorHAnsi"/>
          <w:sz w:val="24"/>
          <w:szCs w:val="24"/>
        </w:rPr>
      </w:pPr>
      <w:r w:rsidRPr="00F404F6">
        <w:rPr>
          <w:rFonts w:asciiTheme="majorHAnsi" w:hAnsiTheme="majorHAnsi"/>
          <w:sz w:val="24"/>
          <w:szCs w:val="24"/>
        </w:rPr>
        <w:t>Whether the Consumer can be entitled for continuous overdrawl of energy thus leading to successive assessment procedure?</w:t>
      </w:r>
    </w:p>
    <w:p w:rsidR="004734BB" w:rsidRPr="00F404F6" w:rsidRDefault="004734BB" w:rsidP="006935E2">
      <w:pPr>
        <w:pStyle w:val="ListParagraph"/>
        <w:numPr>
          <w:ilvl w:val="0"/>
          <w:numId w:val="16"/>
        </w:numPr>
        <w:spacing w:line="360" w:lineRule="auto"/>
        <w:jc w:val="both"/>
        <w:rPr>
          <w:rFonts w:asciiTheme="majorHAnsi" w:hAnsiTheme="majorHAnsi"/>
          <w:sz w:val="24"/>
          <w:szCs w:val="24"/>
        </w:rPr>
      </w:pPr>
      <w:r w:rsidRPr="00F404F6">
        <w:rPr>
          <w:rFonts w:asciiTheme="majorHAnsi" w:hAnsiTheme="majorHAnsi"/>
          <w:sz w:val="24"/>
          <w:szCs w:val="24"/>
        </w:rPr>
        <w:t>Whether the method of computation of assessment adopted by the Utility is just and proper?</w:t>
      </w:r>
    </w:p>
    <w:p w:rsidR="004734BB" w:rsidRPr="00F404F6" w:rsidRDefault="004734BB" w:rsidP="004E01D9">
      <w:pPr>
        <w:spacing w:line="360" w:lineRule="auto"/>
        <w:ind w:left="360"/>
        <w:jc w:val="both"/>
        <w:rPr>
          <w:rFonts w:asciiTheme="majorHAnsi" w:hAnsiTheme="majorHAnsi"/>
        </w:rPr>
      </w:pPr>
      <w:r w:rsidRPr="00F404F6">
        <w:rPr>
          <w:rFonts w:asciiTheme="majorHAnsi" w:hAnsiTheme="majorHAnsi"/>
        </w:rPr>
        <w:t xml:space="preserve"> The views of the Utility to the above enraging issues are placed below.</w:t>
      </w:r>
    </w:p>
    <w:p w:rsidR="004734BB" w:rsidRPr="00F404F6" w:rsidRDefault="004734BB" w:rsidP="006935E2">
      <w:pPr>
        <w:pStyle w:val="ListParagraph"/>
        <w:numPr>
          <w:ilvl w:val="0"/>
          <w:numId w:val="17"/>
        </w:numPr>
        <w:spacing w:line="360" w:lineRule="auto"/>
        <w:jc w:val="both"/>
        <w:rPr>
          <w:rFonts w:asciiTheme="majorHAnsi" w:hAnsiTheme="majorHAnsi"/>
          <w:sz w:val="24"/>
          <w:szCs w:val="24"/>
        </w:rPr>
      </w:pPr>
      <w:r w:rsidRPr="00F404F6">
        <w:rPr>
          <w:rFonts w:asciiTheme="majorHAnsi" w:hAnsiTheme="majorHAnsi"/>
          <w:sz w:val="24"/>
          <w:szCs w:val="24"/>
        </w:rPr>
        <w:t>Whether during the pendency of assessment procedure, the Consumer can be allowed for enhancement of Contract Demand without payment of the assessment dues?</w:t>
      </w:r>
    </w:p>
    <w:p w:rsidR="004734BB" w:rsidRPr="00F404F6" w:rsidRDefault="004734BB" w:rsidP="004734BB">
      <w:pPr>
        <w:pStyle w:val="ListParagraph"/>
        <w:spacing w:line="360" w:lineRule="auto"/>
        <w:ind w:left="1080"/>
        <w:jc w:val="both"/>
        <w:rPr>
          <w:rFonts w:asciiTheme="majorHAnsi" w:hAnsiTheme="majorHAnsi"/>
          <w:sz w:val="24"/>
          <w:szCs w:val="24"/>
        </w:rPr>
      </w:pPr>
      <w:r w:rsidRPr="00F404F6">
        <w:rPr>
          <w:rFonts w:asciiTheme="majorHAnsi" w:hAnsiTheme="majorHAnsi"/>
          <w:b/>
          <w:sz w:val="24"/>
          <w:szCs w:val="24"/>
        </w:rPr>
        <w:t xml:space="preserve">Views of Utility: </w:t>
      </w:r>
      <w:r w:rsidRPr="00F404F6">
        <w:rPr>
          <w:rFonts w:asciiTheme="majorHAnsi" w:hAnsiTheme="majorHAnsi"/>
          <w:sz w:val="24"/>
          <w:szCs w:val="24"/>
        </w:rPr>
        <w:t>As per Reg.73 of the OERC Distribution (Conditions of Supply) Code, 2004 permission for load enhancement cannot be allowed if the consumer is in arrear of electricity dues. The assessment dues of the consumer, if remains un-paid, gets into the account of the consumer, thus showing arrear dues and prohibiting the Utility for permission of load enhancement. Further if the consumer files appeal u/Sec.127 of the Electricity Act, 2003 by paying 50% of the assessment dues, Utility is constraint to allow for load enhancement due to pending litigation by. Therefore in order to ease of the process the Utility suggests that, if Hon’ble Commission approves, on payment of 50% of the assessment dues by the Consumer, permission for load enhancement shall be given by the Utility without prejudice to the right of the consumer to take appropriate legal recourse against such assessment.</w:t>
      </w:r>
    </w:p>
    <w:p w:rsidR="004734BB" w:rsidRPr="00F404F6" w:rsidRDefault="004734BB" w:rsidP="004734BB">
      <w:pPr>
        <w:pStyle w:val="ListParagraph"/>
        <w:spacing w:line="360" w:lineRule="auto"/>
        <w:ind w:left="1080"/>
        <w:jc w:val="both"/>
        <w:rPr>
          <w:rFonts w:asciiTheme="majorHAnsi" w:hAnsiTheme="majorHAnsi"/>
          <w:sz w:val="24"/>
          <w:szCs w:val="24"/>
        </w:rPr>
      </w:pPr>
      <w:r w:rsidRPr="00F404F6">
        <w:rPr>
          <w:rFonts w:asciiTheme="majorHAnsi" w:hAnsiTheme="majorHAnsi"/>
          <w:sz w:val="24"/>
          <w:szCs w:val="24"/>
        </w:rPr>
        <w:t xml:space="preserve"> </w:t>
      </w:r>
    </w:p>
    <w:p w:rsidR="004734BB" w:rsidRPr="00F404F6" w:rsidRDefault="004734BB" w:rsidP="006935E2">
      <w:pPr>
        <w:pStyle w:val="ListParagraph"/>
        <w:numPr>
          <w:ilvl w:val="0"/>
          <w:numId w:val="17"/>
        </w:numPr>
        <w:spacing w:line="360" w:lineRule="auto"/>
        <w:jc w:val="both"/>
        <w:rPr>
          <w:rFonts w:asciiTheme="majorHAnsi" w:hAnsiTheme="majorHAnsi"/>
          <w:sz w:val="24"/>
          <w:szCs w:val="24"/>
        </w:rPr>
      </w:pPr>
      <w:r w:rsidRPr="00F404F6">
        <w:rPr>
          <w:rFonts w:asciiTheme="majorHAnsi" w:hAnsiTheme="majorHAnsi"/>
          <w:sz w:val="24"/>
          <w:szCs w:val="24"/>
        </w:rPr>
        <w:t>Whether the Consumer can be entitled for continuous over drawl of energy thus leading to successive assessment procedure?</w:t>
      </w:r>
    </w:p>
    <w:p w:rsidR="004734BB" w:rsidRPr="00F404F6" w:rsidRDefault="004734BB" w:rsidP="004734BB">
      <w:pPr>
        <w:pStyle w:val="ListParagraph"/>
        <w:spacing w:line="360" w:lineRule="auto"/>
        <w:ind w:left="1080"/>
        <w:jc w:val="both"/>
        <w:rPr>
          <w:rFonts w:asciiTheme="majorHAnsi" w:hAnsiTheme="majorHAnsi"/>
          <w:sz w:val="24"/>
          <w:szCs w:val="24"/>
        </w:rPr>
      </w:pPr>
      <w:r w:rsidRPr="00F404F6">
        <w:rPr>
          <w:rFonts w:asciiTheme="majorHAnsi" w:hAnsiTheme="majorHAnsi"/>
          <w:b/>
          <w:sz w:val="24"/>
          <w:szCs w:val="24"/>
        </w:rPr>
        <w:t xml:space="preserve">Views of The Utility: </w:t>
      </w:r>
      <w:r w:rsidRPr="00F404F6">
        <w:rPr>
          <w:rFonts w:asciiTheme="majorHAnsi" w:hAnsiTheme="majorHAnsi"/>
          <w:sz w:val="24"/>
          <w:szCs w:val="24"/>
        </w:rPr>
        <w:t xml:space="preserve">In some cases it is observed that, inspite of issuance of warning letter the Consumer is indulging in continuous over drawal of energy, thus attracting successive assessment proceedings which has eventually led to series of legal disputes pending before different Court(s)/Forum(s). Therefore the Utility suggests that, if after first assessment proceeding, the Consumer indulges into continuous overdrawal of energy, the licensee may be entitled to </w:t>
      </w:r>
      <w:r w:rsidRPr="00F404F6">
        <w:rPr>
          <w:rFonts w:asciiTheme="majorHAnsi" w:hAnsiTheme="majorHAnsi"/>
          <w:sz w:val="24"/>
          <w:szCs w:val="24"/>
        </w:rPr>
        <w:lastRenderedPageBreak/>
        <w:t>disconnect the power supply of the consumer u/Sec.56 of the Act, 2003, after giving sufficient notice to the Consumer.</w:t>
      </w:r>
    </w:p>
    <w:p w:rsidR="004734BB" w:rsidRPr="00F404F6" w:rsidRDefault="004734BB" w:rsidP="006935E2">
      <w:pPr>
        <w:pStyle w:val="ListParagraph"/>
        <w:numPr>
          <w:ilvl w:val="0"/>
          <w:numId w:val="17"/>
        </w:numPr>
        <w:spacing w:line="360" w:lineRule="auto"/>
        <w:jc w:val="both"/>
        <w:rPr>
          <w:rFonts w:asciiTheme="majorHAnsi" w:hAnsiTheme="majorHAnsi"/>
          <w:sz w:val="24"/>
          <w:szCs w:val="24"/>
        </w:rPr>
      </w:pPr>
      <w:r w:rsidRPr="00F404F6">
        <w:rPr>
          <w:rFonts w:asciiTheme="majorHAnsi" w:hAnsiTheme="majorHAnsi"/>
          <w:sz w:val="24"/>
          <w:szCs w:val="24"/>
        </w:rPr>
        <w:t>Whether the method of computation of assessment adopted by the Utility is just and proper?</w:t>
      </w:r>
    </w:p>
    <w:p w:rsidR="004734BB" w:rsidRPr="00F404F6" w:rsidRDefault="004734BB" w:rsidP="004734BB">
      <w:pPr>
        <w:pStyle w:val="ListParagraph"/>
        <w:spacing w:line="360" w:lineRule="auto"/>
        <w:ind w:left="1080"/>
        <w:jc w:val="both"/>
        <w:rPr>
          <w:rFonts w:asciiTheme="majorHAnsi" w:hAnsiTheme="majorHAnsi"/>
          <w:sz w:val="24"/>
          <w:szCs w:val="24"/>
        </w:rPr>
      </w:pPr>
      <w:r w:rsidRPr="00F404F6">
        <w:rPr>
          <w:rFonts w:asciiTheme="majorHAnsi" w:hAnsiTheme="majorHAnsi"/>
          <w:b/>
          <w:sz w:val="24"/>
          <w:szCs w:val="24"/>
        </w:rPr>
        <w:t xml:space="preserve">Views of the Utility: </w:t>
      </w:r>
      <w:r w:rsidR="002F49FD" w:rsidRPr="00F404F6">
        <w:rPr>
          <w:rFonts w:asciiTheme="majorHAnsi" w:hAnsiTheme="majorHAnsi"/>
          <w:sz w:val="24"/>
          <w:szCs w:val="24"/>
        </w:rPr>
        <w:t>The utility is of the opi</w:t>
      </w:r>
      <w:r w:rsidR="00230A83" w:rsidRPr="00F404F6">
        <w:rPr>
          <w:rFonts w:asciiTheme="majorHAnsi" w:hAnsiTheme="majorHAnsi"/>
          <w:sz w:val="24"/>
          <w:szCs w:val="24"/>
        </w:rPr>
        <w:t>nion</w:t>
      </w:r>
      <w:r w:rsidR="002F49FD" w:rsidRPr="00F404F6">
        <w:rPr>
          <w:rFonts w:asciiTheme="majorHAnsi" w:hAnsiTheme="majorHAnsi"/>
          <w:sz w:val="24"/>
          <w:szCs w:val="24"/>
        </w:rPr>
        <w:t xml:space="preserve"> that when the consumer is dr</w:t>
      </w:r>
      <w:r w:rsidR="00230A83" w:rsidRPr="00F404F6">
        <w:rPr>
          <w:rFonts w:asciiTheme="majorHAnsi" w:hAnsiTheme="majorHAnsi"/>
          <w:sz w:val="24"/>
          <w:szCs w:val="24"/>
        </w:rPr>
        <w:t>a</w:t>
      </w:r>
      <w:r w:rsidR="002F49FD" w:rsidRPr="00F404F6">
        <w:rPr>
          <w:rFonts w:asciiTheme="majorHAnsi" w:hAnsiTheme="majorHAnsi"/>
          <w:sz w:val="24"/>
          <w:szCs w:val="24"/>
        </w:rPr>
        <w:t>wing power beyond its contract demand the quantum of excess energy drawn over and above the standard energy as calculated with 100% LF may be treated as overdrawal and needs to be paid at double the rate like demand charges.</w:t>
      </w:r>
    </w:p>
    <w:p w:rsidR="002F49FD" w:rsidRPr="00F404F6" w:rsidRDefault="002F49FD" w:rsidP="004734BB">
      <w:pPr>
        <w:pStyle w:val="ListParagraph"/>
        <w:spacing w:line="360" w:lineRule="auto"/>
        <w:ind w:left="1080"/>
        <w:jc w:val="both"/>
        <w:rPr>
          <w:rFonts w:asciiTheme="majorHAnsi" w:hAnsiTheme="majorHAnsi"/>
          <w:sz w:val="24"/>
          <w:szCs w:val="24"/>
        </w:rPr>
      </w:pPr>
      <w:r w:rsidRPr="00F404F6">
        <w:rPr>
          <w:rFonts w:asciiTheme="majorHAnsi" w:hAnsiTheme="majorHAnsi"/>
          <w:sz w:val="24"/>
          <w:szCs w:val="24"/>
        </w:rPr>
        <w:t xml:space="preserve">As the consumer is paying ODP for excess drawal of demand at the same time he has to pay for the excess energy also. </w:t>
      </w:r>
    </w:p>
    <w:p w:rsidR="004734BB" w:rsidRPr="00F404F6" w:rsidRDefault="004734BB" w:rsidP="004E01D9">
      <w:pPr>
        <w:spacing w:line="360" w:lineRule="auto"/>
        <w:ind w:left="360"/>
        <w:jc w:val="both"/>
        <w:rPr>
          <w:rFonts w:asciiTheme="majorHAnsi" w:hAnsiTheme="majorHAnsi"/>
        </w:rPr>
      </w:pPr>
      <w:r w:rsidRPr="00F404F6">
        <w:rPr>
          <w:rFonts w:asciiTheme="majorHAnsi" w:hAnsiTheme="majorHAnsi"/>
        </w:rPr>
        <w:t xml:space="preserve">That it is further submitted that, many consumers have applied for enhancement of contract demand which </w:t>
      </w:r>
      <w:r w:rsidR="00890EB3" w:rsidRPr="00F404F6">
        <w:rPr>
          <w:rFonts w:asciiTheme="majorHAnsi" w:hAnsiTheme="majorHAnsi"/>
        </w:rPr>
        <w:t>is</w:t>
      </w:r>
      <w:r w:rsidRPr="00F404F6">
        <w:rPr>
          <w:rFonts w:asciiTheme="majorHAnsi" w:hAnsiTheme="majorHAnsi"/>
        </w:rPr>
        <w:t xml:space="preserve"> pending before the Utility. Due to pending assessment dues against such consumers, the Utility is constraint to permit enhancement of load due to outstanding of assessment amount. Hence the Utility s</w:t>
      </w:r>
      <w:r w:rsidR="00890EB3" w:rsidRPr="00F404F6">
        <w:rPr>
          <w:rFonts w:asciiTheme="majorHAnsi" w:hAnsiTheme="majorHAnsi"/>
        </w:rPr>
        <w:t xml:space="preserve">ubmits </w:t>
      </w:r>
      <w:r w:rsidRPr="00F404F6">
        <w:rPr>
          <w:rFonts w:asciiTheme="majorHAnsi" w:hAnsiTheme="majorHAnsi"/>
        </w:rPr>
        <w:t xml:space="preserve">that, if the aforesaid proposal is approved by the Hon’ble Commission, same may be adopted for the existing consumers. </w:t>
      </w:r>
    </w:p>
    <w:p w:rsidR="003C5044" w:rsidRDefault="003C5044" w:rsidP="003C5044">
      <w:pPr>
        <w:spacing w:line="360" w:lineRule="auto"/>
        <w:ind w:left="360"/>
        <w:jc w:val="both"/>
        <w:rPr>
          <w:rFonts w:ascii="Cambria" w:hAnsi="Cambria" w:cs="Arial"/>
          <w:b/>
        </w:rPr>
      </w:pPr>
      <w:r>
        <w:rPr>
          <w:rFonts w:ascii="Cambria" w:hAnsi="Cambria" w:cs="Arial"/>
          <w:b/>
        </w:rPr>
        <w:t>In due course of time Distribution Supply code is under process where certain provision has been suggested.</w:t>
      </w:r>
    </w:p>
    <w:p w:rsidR="003C5044" w:rsidRDefault="003C5044" w:rsidP="003C5044">
      <w:pPr>
        <w:spacing w:line="360" w:lineRule="auto"/>
        <w:ind w:left="360"/>
        <w:jc w:val="both"/>
        <w:rPr>
          <w:rFonts w:ascii="Cambria" w:hAnsi="Cambria" w:cs="Arial"/>
          <w:b/>
        </w:rPr>
      </w:pPr>
      <w:r w:rsidRPr="00F404F6">
        <w:rPr>
          <w:rFonts w:ascii="Cambria" w:hAnsi="Cambria" w:cs="Arial"/>
          <w:b/>
        </w:rPr>
        <w:t>In view of the above it is once again submitted before Hon’ble Commission for suitable direction in the tariff order for levy of additional energy charges for overdrawal beyond permitted CD.</w:t>
      </w:r>
    </w:p>
    <w:p w:rsidR="009E0A9B" w:rsidRPr="00BF0E9D" w:rsidRDefault="009E0A9B" w:rsidP="006935E2">
      <w:pPr>
        <w:pStyle w:val="Heading1"/>
        <w:numPr>
          <w:ilvl w:val="0"/>
          <w:numId w:val="9"/>
        </w:numPr>
        <w:spacing w:line="360" w:lineRule="auto"/>
        <w:jc w:val="both"/>
        <w:rPr>
          <w:rFonts w:ascii="Cambria" w:hAnsi="Cambria"/>
          <w:sz w:val="24"/>
          <w:szCs w:val="24"/>
        </w:rPr>
      </w:pPr>
      <w:bookmarkStart w:id="91" w:name="_Toc25850975"/>
      <w:r w:rsidRPr="00BF0E9D">
        <w:rPr>
          <w:rFonts w:ascii="Cambria" w:hAnsi="Cambria"/>
          <w:sz w:val="24"/>
          <w:szCs w:val="24"/>
        </w:rPr>
        <w:t>Formats</w:t>
      </w:r>
      <w:bookmarkEnd w:id="91"/>
    </w:p>
    <w:p w:rsidR="009E0A9B" w:rsidRPr="00BF0E9D" w:rsidRDefault="009E0A9B" w:rsidP="00B91F1C">
      <w:pPr>
        <w:spacing w:line="360" w:lineRule="auto"/>
        <w:rPr>
          <w:rFonts w:ascii="Cambria" w:hAnsi="Cambria" w:cs="Arial"/>
        </w:rPr>
      </w:pPr>
      <w:r w:rsidRPr="00BF0E9D">
        <w:rPr>
          <w:rFonts w:ascii="Cambria" w:hAnsi="Cambria" w:cs="Arial"/>
          <w:lang w:val="en-GB"/>
        </w:rPr>
        <w:t xml:space="preserve">The following filled in formats will form a part of the ARR and Tariff Application for FY </w:t>
      </w:r>
      <w:r w:rsidR="00650F71">
        <w:rPr>
          <w:rFonts w:ascii="Cambria" w:hAnsi="Cambria" w:cs="Arial"/>
          <w:lang w:val="en-GB"/>
        </w:rPr>
        <w:t>2020-21</w:t>
      </w:r>
      <w:r w:rsidR="0007246A" w:rsidRPr="00BF0E9D">
        <w:rPr>
          <w:rFonts w:ascii="Cambria" w:hAnsi="Cambria" w:cs="Arial"/>
          <w:lang w:val="en-GB"/>
        </w:rPr>
        <w:t xml:space="preserve"> </w:t>
      </w:r>
      <w:r w:rsidRPr="00BF0E9D">
        <w:rPr>
          <w:rFonts w:ascii="Cambria" w:hAnsi="Cambria" w:cs="Arial"/>
          <w:lang w:val="en-GB"/>
        </w:rPr>
        <w:t xml:space="preserve"> as annexures.</w:t>
      </w:r>
    </w:p>
    <w:p w:rsidR="009E0A9B" w:rsidRPr="00BF0E9D" w:rsidRDefault="009E0A9B" w:rsidP="006935E2">
      <w:pPr>
        <w:pStyle w:val="Heading1"/>
        <w:numPr>
          <w:ilvl w:val="1"/>
          <w:numId w:val="15"/>
        </w:numPr>
        <w:spacing w:line="360" w:lineRule="auto"/>
        <w:jc w:val="both"/>
        <w:rPr>
          <w:rFonts w:ascii="Cambria" w:hAnsi="Cambria"/>
          <w:sz w:val="24"/>
          <w:szCs w:val="24"/>
        </w:rPr>
      </w:pPr>
      <w:bookmarkStart w:id="92" w:name="_Toc25850976"/>
      <w:r w:rsidRPr="00BF0E9D">
        <w:rPr>
          <w:rFonts w:ascii="Cambria" w:hAnsi="Cambria"/>
          <w:sz w:val="24"/>
          <w:szCs w:val="24"/>
        </w:rPr>
        <w:lastRenderedPageBreak/>
        <w:t>Commercial</w:t>
      </w:r>
      <w:r w:rsidR="00D33595">
        <w:rPr>
          <w:rFonts w:ascii="Cambria" w:hAnsi="Cambria"/>
          <w:sz w:val="24"/>
          <w:szCs w:val="24"/>
        </w:rPr>
        <w:t xml:space="preserve">/Technical </w:t>
      </w:r>
      <w:r w:rsidRPr="00BF0E9D">
        <w:rPr>
          <w:rFonts w:ascii="Cambria" w:hAnsi="Cambria"/>
          <w:sz w:val="24"/>
          <w:szCs w:val="24"/>
        </w:rPr>
        <w:t xml:space="preserve"> Formats T1-T</w:t>
      </w:r>
      <w:r w:rsidR="00D33595">
        <w:rPr>
          <w:rFonts w:ascii="Cambria" w:hAnsi="Cambria"/>
          <w:sz w:val="24"/>
          <w:szCs w:val="24"/>
        </w:rPr>
        <w:t>9</w:t>
      </w:r>
      <w:bookmarkEnd w:id="92"/>
    </w:p>
    <w:p w:rsidR="009E0A9B" w:rsidRDefault="009E0A9B" w:rsidP="006935E2">
      <w:pPr>
        <w:pStyle w:val="Heading1"/>
        <w:numPr>
          <w:ilvl w:val="1"/>
          <w:numId w:val="15"/>
        </w:numPr>
        <w:spacing w:line="360" w:lineRule="auto"/>
        <w:jc w:val="both"/>
        <w:rPr>
          <w:rFonts w:ascii="Cambria" w:hAnsi="Cambria"/>
          <w:sz w:val="24"/>
          <w:szCs w:val="24"/>
        </w:rPr>
      </w:pPr>
      <w:bookmarkStart w:id="93" w:name="_Toc25850977"/>
      <w:r w:rsidRPr="00BF0E9D">
        <w:rPr>
          <w:rFonts w:ascii="Cambria" w:hAnsi="Cambria"/>
          <w:sz w:val="24"/>
          <w:szCs w:val="24"/>
        </w:rPr>
        <w:t>Financial Formats F1-F</w:t>
      </w:r>
      <w:r w:rsidR="00D33595">
        <w:rPr>
          <w:rFonts w:ascii="Cambria" w:hAnsi="Cambria"/>
          <w:sz w:val="24"/>
          <w:szCs w:val="24"/>
        </w:rPr>
        <w:t>27</w:t>
      </w:r>
      <w:bookmarkEnd w:id="93"/>
      <w:r w:rsidR="00D33595">
        <w:rPr>
          <w:rFonts w:ascii="Cambria" w:hAnsi="Cambria"/>
          <w:sz w:val="24"/>
          <w:szCs w:val="24"/>
        </w:rPr>
        <w:t xml:space="preserve"> </w:t>
      </w:r>
    </w:p>
    <w:p w:rsidR="009E0A9B" w:rsidRPr="00BF0E9D" w:rsidRDefault="009E0A9B" w:rsidP="006935E2">
      <w:pPr>
        <w:pStyle w:val="Heading1"/>
        <w:numPr>
          <w:ilvl w:val="1"/>
          <w:numId w:val="15"/>
        </w:numPr>
        <w:spacing w:line="360" w:lineRule="auto"/>
        <w:jc w:val="both"/>
        <w:rPr>
          <w:rFonts w:ascii="Cambria" w:hAnsi="Cambria"/>
          <w:sz w:val="24"/>
          <w:szCs w:val="24"/>
        </w:rPr>
      </w:pPr>
      <w:bookmarkStart w:id="94" w:name="_Toc25850978"/>
      <w:r w:rsidRPr="00BF0E9D">
        <w:rPr>
          <w:rFonts w:ascii="Cambria" w:hAnsi="Cambria"/>
          <w:sz w:val="24"/>
          <w:szCs w:val="24"/>
        </w:rPr>
        <w:t>Details Performance Formats (P1-P1</w:t>
      </w:r>
      <w:r w:rsidR="00D33595">
        <w:rPr>
          <w:rFonts w:ascii="Cambria" w:hAnsi="Cambria"/>
          <w:sz w:val="24"/>
          <w:szCs w:val="24"/>
        </w:rPr>
        <w:t>7</w:t>
      </w:r>
      <w:r w:rsidRPr="00BF0E9D">
        <w:rPr>
          <w:rFonts w:ascii="Cambria" w:hAnsi="Cambria"/>
          <w:sz w:val="24"/>
          <w:szCs w:val="24"/>
        </w:rPr>
        <w:t>) in Vol</w:t>
      </w:r>
      <w:r w:rsidR="00746174" w:rsidRPr="00BF0E9D">
        <w:rPr>
          <w:rFonts w:ascii="Cambria" w:hAnsi="Cambria"/>
          <w:sz w:val="24"/>
          <w:szCs w:val="24"/>
        </w:rPr>
        <w:t>-</w:t>
      </w:r>
      <w:r w:rsidRPr="00BF0E9D">
        <w:rPr>
          <w:rFonts w:ascii="Cambria" w:hAnsi="Cambria"/>
          <w:sz w:val="24"/>
          <w:szCs w:val="24"/>
        </w:rPr>
        <w:t xml:space="preserve"> II</w:t>
      </w:r>
      <w:bookmarkEnd w:id="94"/>
    </w:p>
    <w:p w:rsidR="009F1595" w:rsidRPr="00BF0E9D" w:rsidRDefault="009F1595" w:rsidP="006935E2">
      <w:pPr>
        <w:pStyle w:val="Heading1"/>
        <w:numPr>
          <w:ilvl w:val="0"/>
          <w:numId w:val="9"/>
        </w:numPr>
        <w:spacing w:line="360" w:lineRule="auto"/>
        <w:jc w:val="both"/>
        <w:rPr>
          <w:rFonts w:ascii="Cambria" w:hAnsi="Cambria"/>
          <w:sz w:val="24"/>
          <w:szCs w:val="24"/>
        </w:rPr>
      </w:pPr>
      <w:bookmarkStart w:id="95" w:name="_Toc404530845"/>
      <w:bookmarkStart w:id="96" w:name="_Toc25850979"/>
      <w:r w:rsidRPr="00BF0E9D">
        <w:rPr>
          <w:rFonts w:ascii="Cambria" w:hAnsi="Cambria"/>
          <w:sz w:val="24"/>
          <w:szCs w:val="24"/>
        </w:rPr>
        <w:t>Prayer</w:t>
      </w:r>
      <w:bookmarkEnd w:id="95"/>
      <w:bookmarkEnd w:id="96"/>
    </w:p>
    <w:p w:rsidR="00C017DA" w:rsidRPr="000B7D3A" w:rsidRDefault="00C017DA" w:rsidP="00C017DA">
      <w:pPr>
        <w:autoSpaceDE w:val="0"/>
        <w:autoSpaceDN w:val="0"/>
        <w:adjustRightInd w:val="0"/>
        <w:spacing w:after="240" w:line="360" w:lineRule="auto"/>
        <w:ind w:left="360"/>
        <w:jc w:val="both"/>
        <w:rPr>
          <w:rFonts w:ascii="Cambria" w:hAnsi="Cambria" w:cs="Arial"/>
          <w:color w:val="000000"/>
          <w:lang w:val="en-GB"/>
        </w:rPr>
      </w:pPr>
      <w:r w:rsidRPr="000B7D3A">
        <w:rPr>
          <w:rFonts w:ascii="Cambria" w:hAnsi="Cambria" w:cs="Arial"/>
          <w:color w:val="000000"/>
          <w:lang w:val="en-GB"/>
        </w:rPr>
        <w:t xml:space="preserve">In the aforesaid facts and circumstances, the </w:t>
      </w:r>
      <w:r>
        <w:rPr>
          <w:rFonts w:ascii="Cambria" w:hAnsi="Cambria" w:cs="Arial"/>
          <w:color w:val="000000"/>
          <w:lang w:val="en-GB"/>
        </w:rPr>
        <w:t>utility</w:t>
      </w:r>
      <w:r w:rsidRPr="000B7D3A">
        <w:rPr>
          <w:rFonts w:ascii="Cambria" w:hAnsi="Cambria" w:cs="Arial"/>
          <w:color w:val="000000"/>
          <w:lang w:val="en-GB"/>
        </w:rPr>
        <w:t xml:space="preserve"> prays that the Hon’ble Commission may be pleased to:</w:t>
      </w:r>
    </w:p>
    <w:p w:rsidR="001812B6" w:rsidRPr="000B7D3A" w:rsidRDefault="001812B6" w:rsidP="001812B6">
      <w:pPr>
        <w:numPr>
          <w:ilvl w:val="0"/>
          <w:numId w:val="3"/>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Take the ARR application and Tariff Petition on record.</w:t>
      </w:r>
    </w:p>
    <w:p w:rsidR="001812B6" w:rsidRPr="000B7D3A" w:rsidRDefault="001812B6" w:rsidP="001812B6">
      <w:pPr>
        <w:numPr>
          <w:ilvl w:val="0"/>
          <w:numId w:val="3"/>
        </w:numPr>
        <w:autoSpaceDE w:val="0"/>
        <w:autoSpaceDN w:val="0"/>
        <w:adjustRightInd w:val="0"/>
        <w:spacing w:line="360" w:lineRule="auto"/>
        <w:jc w:val="both"/>
        <w:rPr>
          <w:rFonts w:ascii="Cambria" w:hAnsi="Cambria" w:cs="Arial"/>
          <w:color w:val="000000"/>
          <w:lang w:val="en-GB"/>
        </w:rPr>
      </w:pPr>
      <w:r w:rsidRPr="000B7D3A">
        <w:rPr>
          <w:rFonts w:ascii="Cambria" w:hAnsi="Cambria" w:cs="Arial"/>
          <w:color w:val="000000"/>
          <w:lang w:val="en-GB"/>
        </w:rPr>
        <w:t>Approve the Annua</w:t>
      </w:r>
      <w:r w:rsidR="00C319F4">
        <w:rPr>
          <w:rFonts w:ascii="Cambria" w:hAnsi="Cambria" w:cs="Arial"/>
          <w:color w:val="000000"/>
          <w:lang w:val="en-GB"/>
        </w:rPr>
        <w:t>l Revenue Requirement for FY 2020-21</w:t>
      </w:r>
      <w:r>
        <w:rPr>
          <w:rFonts w:ascii="Cambria" w:hAnsi="Cambria" w:cs="Arial"/>
          <w:color w:val="000000"/>
          <w:lang w:val="en-GB"/>
        </w:rPr>
        <w:t>.</w:t>
      </w:r>
    </w:p>
    <w:p w:rsidR="001812B6" w:rsidRPr="000B7D3A" w:rsidRDefault="001812B6" w:rsidP="001812B6">
      <w:pPr>
        <w:numPr>
          <w:ilvl w:val="0"/>
          <w:numId w:val="3"/>
        </w:numPr>
        <w:autoSpaceDE w:val="0"/>
        <w:autoSpaceDN w:val="0"/>
        <w:adjustRightInd w:val="0"/>
        <w:spacing w:after="240" w:line="360" w:lineRule="auto"/>
        <w:jc w:val="both"/>
        <w:rPr>
          <w:rFonts w:ascii="Cambria" w:hAnsi="Cambria" w:cs="Arial"/>
          <w:color w:val="000000"/>
          <w:lang w:val="en-GB"/>
        </w:rPr>
      </w:pPr>
      <w:r w:rsidRPr="000B7D3A">
        <w:rPr>
          <w:rFonts w:ascii="Cambria" w:hAnsi="Cambria" w:cs="Arial"/>
          <w:color w:val="000000"/>
          <w:lang w:val="en-GB"/>
        </w:rPr>
        <w:t>Bridge the Revenue Gap</w:t>
      </w:r>
      <w:r w:rsidR="00C319F4">
        <w:rPr>
          <w:rFonts w:ascii="Cambria" w:hAnsi="Cambria" w:cs="Arial"/>
          <w:color w:val="000000"/>
          <w:lang w:val="en-GB"/>
        </w:rPr>
        <w:t xml:space="preserve"> for the FY 20</w:t>
      </w:r>
      <w:r>
        <w:rPr>
          <w:rFonts w:ascii="Cambria" w:hAnsi="Cambria" w:cs="Arial"/>
          <w:color w:val="000000"/>
          <w:lang w:val="en-GB"/>
        </w:rPr>
        <w:t>20</w:t>
      </w:r>
      <w:r w:rsidR="00C319F4">
        <w:rPr>
          <w:rFonts w:ascii="Cambria" w:hAnsi="Cambria" w:cs="Arial"/>
          <w:color w:val="000000"/>
          <w:lang w:val="en-GB"/>
        </w:rPr>
        <w:t>-21</w:t>
      </w:r>
      <w:r w:rsidRPr="000B7D3A">
        <w:rPr>
          <w:rFonts w:ascii="Cambria" w:hAnsi="Cambria" w:cs="Arial"/>
          <w:color w:val="000000"/>
          <w:lang w:val="en-GB"/>
        </w:rPr>
        <w:t xml:space="preserve"> through increase in Retail Supply Tariff</w:t>
      </w:r>
      <w:r>
        <w:rPr>
          <w:rFonts w:ascii="Cambria" w:hAnsi="Cambria" w:cs="Arial"/>
          <w:color w:val="000000"/>
          <w:lang w:val="en-GB"/>
        </w:rPr>
        <w:t xml:space="preserve"> or</w:t>
      </w:r>
      <w:r w:rsidRPr="000B7D3A">
        <w:rPr>
          <w:rFonts w:ascii="Cambria" w:hAnsi="Cambria" w:cs="Arial"/>
          <w:color w:val="000000"/>
          <w:lang w:val="en-GB"/>
        </w:rPr>
        <w:t xml:space="preserve"> reduction in Bulk Supply Tariff (BST) wherever possible.</w:t>
      </w:r>
    </w:p>
    <w:p w:rsidR="001812B6" w:rsidRPr="000B7D3A" w:rsidRDefault="001812B6" w:rsidP="001812B6">
      <w:pPr>
        <w:autoSpaceDE w:val="0"/>
        <w:autoSpaceDN w:val="0"/>
        <w:adjustRightInd w:val="0"/>
        <w:spacing w:after="240" w:line="360" w:lineRule="auto"/>
        <w:ind w:left="1080"/>
        <w:jc w:val="both"/>
        <w:rPr>
          <w:rFonts w:ascii="Cambria" w:hAnsi="Cambria" w:cs="Arial"/>
          <w:b/>
          <w:u w:val="single"/>
          <w:lang w:val="en-GB"/>
        </w:rPr>
      </w:pPr>
      <w:r w:rsidRPr="000B7D3A">
        <w:rPr>
          <w:rFonts w:ascii="Cambria" w:hAnsi="Cambria" w:cs="Arial"/>
          <w:b/>
          <w:u w:val="single"/>
          <w:lang w:val="en-GB"/>
        </w:rPr>
        <w:t>Allow the following Tariff rationalisation measures as proposed</w:t>
      </w:r>
    </w:p>
    <w:p w:rsidR="001812B6" w:rsidRPr="00FC2C6E" w:rsidRDefault="001812B6" w:rsidP="001812B6">
      <w:pPr>
        <w:numPr>
          <w:ilvl w:val="0"/>
          <w:numId w:val="3"/>
        </w:numPr>
        <w:autoSpaceDE w:val="0"/>
        <w:autoSpaceDN w:val="0"/>
        <w:adjustRightInd w:val="0"/>
        <w:spacing w:after="240" w:line="336" w:lineRule="auto"/>
        <w:jc w:val="both"/>
        <w:rPr>
          <w:rFonts w:ascii="Cambria" w:hAnsi="Cambria" w:cs="Arial"/>
        </w:rPr>
      </w:pPr>
      <w:r>
        <w:rPr>
          <w:rFonts w:ascii="Cambria" w:hAnsi="Cambria" w:cs="Arial"/>
        </w:rPr>
        <w:t>Withdrawal of Power Factor Incentive.</w:t>
      </w:r>
    </w:p>
    <w:p w:rsidR="001812B6" w:rsidRDefault="001812B6" w:rsidP="001812B6">
      <w:pPr>
        <w:numPr>
          <w:ilvl w:val="0"/>
          <w:numId w:val="3"/>
        </w:numPr>
        <w:autoSpaceDE w:val="0"/>
        <w:autoSpaceDN w:val="0"/>
        <w:adjustRightInd w:val="0"/>
        <w:spacing w:after="240" w:line="336" w:lineRule="auto"/>
        <w:jc w:val="both"/>
        <w:rPr>
          <w:rFonts w:ascii="Cambria" w:hAnsi="Cambria" w:cs="Arial"/>
        </w:rPr>
      </w:pPr>
      <w:r>
        <w:rPr>
          <w:rFonts w:ascii="Cambria" w:hAnsi="Cambria" w:cs="Arial"/>
        </w:rPr>
        <w:t>Rationalization of MMFC charges for LT category of consumers where disparity in monthly fixed charges for 1</w:t>
      </w:r>
      <w:r w:rsidRPr="00CA6493">
        <w:rPr>
          <w:rFonts w:ascii="Cambria" w:hAnsi="Cambria" w:cs="Arial"/>
          <w:vertAlign w:val="superscript"/>
        </w:rPr>
        <w:t>st</w:t>
      </w:r>
      <w:r>
        <w:rPr>
          <w:rFonts w:ascii="Cambria" w:hAnsi="Cambria" w:cs="Arial"/>
        </w:rPr>
        <w:t xml:space="preserve"> kw or part thereof with the additional kw or part thereof.</w:t>
      </w:r>
    </w:p>
    <w:p w:rsidR="001812B6" w:rsidRDefault="001812B6" w:rsidP="001812B6">
      <w:pPr>
        <w:numPr>
          <w:ilvl w:val="0"/>
          <w:numId w:val="3"/>
        </w:numPr>
        <w:autoSpaceDE w:val="0"/>
        <w:autoSpaceDN w:val="0"/>
        <w:adjustRightInd w:val="0"/>
        <w:spacing w:after="240" w:line="336" w:lineRule="auto"/>
        <w:jc w:val="both"/>
        <w:rPr>
          <w:rFonts w:ascii="Cambria" w:hAnsi="Cambria" w:cs="Arial"/>
        </w:rPr>
      </w:pPr>
      <w:r>
        <w:rPr>
          <w:rFonts w:ascii="Cambria" w:hAnsi="Cambria" w:cs="Arial"/>
        </w:rPr>
        <w:t>Conti</w:t>
      </w:r>
      <w:r w:rsidR="00EF6017">
        <w:rPr>
          <w:rFonts w:ascii="Cambria" w:hAnsi="Cambria" w:cs="Arial"/>
        </w:rPr>
        <w:t>nuance of additional rebate of 2</w:t>
      </w:r>
      <w:r>
        <w:rPr>
          <w:rFonts w:ascii="Cambria" w:hAnsi="Cambria" w:cs="Arial"/>
        </w:rPr>
        <w:t>% to LT  single phase Domestic category of consumers only if payment made through digital mode/online over and above normal rebate.</w:t>
      </w:r>
    </w:p>
    <w:p w:rsidR="001812B6" w:rsidRDefault="001812B6" w:rsidP="001812B6">
      <w:pPr>
        <w:numPr>
          <w:ilvl w:val="0"/>
          <w:numId w:val="3"/>
        </w:numPr>
        <w:autoSpaceDE w:val="0"/>
        <w:autoSpaceDN w:val="0"/>
        <w:adjustRightInd w:val="0"/>
        <w:spacing w:after="240" w:line="336" w:lineRule="auto"/>
        <w:jc w:val="both"/>
        <w:rPr>
          <w:rFonts w:ascii="Cambria" w:hAnsi="Cambria" w:cs="Arial"/>
        </w:rPr>
      </w:pPr>
      <w:r w:rsidRPr="000B7D3A">
        <w:rPr>
          <w:rFonts w:ascii="Cambria" w:hAnsi="Cambria" w:cs="Arial"/>
        </w:rPr>
        <w:t xml:space="preserve">Introduction of KVAH Billing </w:t>
      </w:r>
    </w:p>
    <w:p w:rsidR="001812B6" w:rsidRDefault="001812B6" w:rsidP="001812B6">
      <w:pPr>
        <w:numPr>
          <w:ilvl w:val="0"/>
          <w:numId w:val="3"/>
        </w:numPr>
        <w:autoSpaceDE w:val="0"/>
        <w:autoSpaceDN w:val="0"/>
        <w:adjustRightInd w:val="0"/>
        <w:spacing w:after="240" w:line="336" w:lineRule="auto"/>
        <w:jc w:val="both"/>
        <w:rPr>
          <w:rFonts w:ascii="Cambria" w:hAnsi="Cambria" w:cs="Arial"/>
        </w:rPr>
      </w:pPr>
      <w:r w:rsidRPr="000B7D3A">
        <w:rPr>
          <w:rFonts w:ascii="Cambria" w:hAnsi="Cambria" w:cs="Arial"/>
        </w:rPr>
        <w:t xml:space="preserve">Extending of levy of penalty on energy charges when a consumer draws power </w:t>
      </w:r>
    </w:p>
    <w:p w:rsidR="00DD660F" w:rsidRPr="00DD660F" w:rsidRDefault="001812B6" w:rsidP="00DD660F">
      <w:pPr>
        <w:numPr>
          <w:ilvl w:val="0"/>
          <w:numId w:val="3"/>
        </w:numPr>
        <w:autoSpaceDE w:val="0"/>
        <w:autoSpaceDN w:val="0"/>
        <w:adjustRightInd w:val="0"/>
        <w:spacing w:after="240" w:line="336" w:lineRule="auto"/>
        <w:jc w:val="both"/>
        <w:rPr>
          <w:rFonts w:ascii="Cambria" w:hAnsi="Cambria"/>
          <w:b/>
        </w:rPr>
      </w:pPr>
      <w:r w:rsidRPr="000B7D3A">
        <w:rPr>
          <w:rFonts w:ascii="Cambria" w:hAnsi="Cambria" w:cs="Arial"/>
        </w:rPr>
        <w:t>2% Rebate be allowed on</w:t>
      </w:r>
      <w:r w:rsidRPr="000B7D3A">
        <w:rPr>
          <w:rFonts w:ascii="Cambria" w:hAnsi="Cambria" w:cs="Arial"/>
          <w:b/>
          <w:u w:val="single"/>
          <w:lang w:val="en-GB"/>
        </w:rPr>
        <w:t xml:space="preserve"> payment of current monthly BST bills (excluding all arrears) within 3 days time instead of 2 working </w:t>
      </w:r>
      <w:r w:rsidRPr="00EB3D8D">
        <w:rPr>
          <w:rFonts w:ascii="Cambria" w:hAnsi="Cambria" w:cs="Arial"/>
          <w:b/>
          <w:u w:val="single"/>
          <w:lang w:val="en-GB"/>
        </w:rPr>
        <w:t>da</w:t>
      </w:r>
      <w:r w:rsidRPr="00EB3D8D">
        <w:rPr>
          <w:rFonts w:ascii="Cambria" w:hAnsi="Cambria"/>
          <w:b/>
          <w:u w:val="single"/>
        </w:rPr>
        <w:t>ys</w:t>
      </w:r>
      <w:r>
        <w:rPr>
          <w:rFonts w:ascii="Cambria" w:hAnsi="Cambria"/>
        </w:rPr>
        <w:t xml:space="preserve"> and also t</w:t>
      </w:r>
      <w:r w:rsidRPr="000B7D3A">
        <w:rPr>
          <w:rFonts w:ascii="Cambria" w:hAnsi="Cambria" w:cs="Arial"/>
          <w:color w:val="000000"/>
          <w:lang w:val="en-GB"/>
        </w:rPr>
        <w:t>o allow rebate on part payment of BST bills</w:t>
      </w:r>
      <w:r>
        <w:rPr>
          <w:rFonts w:ascii="Cambria" w:hAnsi="Cambria" w:cs="Arial"/>
          <w:color w:val="000000"/>
          <w:lang w:val="en-GB"/>
        </w:rPr>
        <w:t>.</w:t>
      </w:r>
    </w:p>
    <w:p w:rsidR="00DD660F" w:rsidRPr="00DD660F" w:rsidRDefault="00DD660F" w:rsidP="00DD660F">
      <w:pPr>
        <w:numPr>
          <w:ilvl w:val="0"/>
          <w:numId w:val="3"/>
        </w:numPr>
        <w:autoSpaceDE w:val="0"/>
        <w:autoSpaceDN w:val="0"/>
        <w:adjustRightInd w:val="0"/>
        <w:spacing w:after="240" w:line="336" w:lineRule="auto"/>
        <w:jc w:val="both"/>
        <w:rPr>
          <w:rFonts w:ascii="Cambria" w:hAnsi="Cambria"/>
          <w:b/>
        </w:rPr>
      </w:pPr>
      <w:r>
        <w:rPr>
          <w:rFonts w:ascii="Cambria" w:hAnsi="Cambria"/>
        </w:rPr>
        <w:t>I</w:t>
      </w:r>
      <w:r w:rsidRPr="00DD660F">
        <w:rPr>
          <w:rFonts w:ascii="Cambria" w:hAnsi="Cambria"/>
        </w:rPr>
        <w:t xml:space="preserve">nclude </w:t>
      </w:r>
      <w:r>
        <w:rPr>
          <w:rFonts w:ascii="Cambria" w:hAnsi="Cambria"/>
        </w:rPr>
        <w:t xml:space="preserve">Billing &amp; Collection </w:t>
      </w:r>
      <w:r w:rsidRPr="00DD660F">
        <w:rPr>
          <w:rFonts w:ascii="Cambria" w:hAnsi="Cambria"/>
        </w:rPr>
        <w:t>expenses in addition to the employee expenses and contractual obligations as allowed on monthly basis as escrow relaxation and issue necessary directions to GRIDCO.</w:t>
      </w:r>
    </w:p>
    <w:p w:rsidR="00DD660F" w:rsidRPr="00090FBC" w:rsidRDefault="00DD660F" w:rsidP="00DD660F">
      <w:pPr>
        <w:autoSpaceDE w:val="0"/>
        <w:autoSpaceDN w:val="0"/>
        <w:adjustRightInd w:val="0"/>
        <w:spacing w:after="240" w:line="336" w:lineRule="auto"/>
        <w:ind w:left="1080"/>
        <w:jc w:val="both"/>
        <w:rPr>
          <w:rFonts w:ascii="Cambria" w:hAnsi="Cambria"/>
          <w:b/>
        </w:rPr>
      </w:pPr>
    </w:p>
    <w:p w:rsidR="001812B6" w:rsidRPr="00090FBC" w:rsidRDefault="001812B6" w:rsidP="001812B6">
      <w:pPr>
        <w:numPr>
          <w:ilvl w:val="0"/>
          <w:numId w:val="3"/>
        </w:numPr>
        <w:autoSpaceDE w:val="0"/>
        <w:autoSpaceDN w:val="0"/>
        <w:adjustRightInd w:val="0"/>
        <w:spacing w:after="240" w:line="336" w:lineRule="auto"/>
        <w:jc w:val="both"/>
        <w:rPr>
          <w:rFonts w:ascii="Cambria" w:hAnsi="Cambria"/>
          <w:b/>
        </w:rPr>
      </w:pPr>
      <w:r>
        <w:rPr>
          <w:rFonts w:ascii="Cambria" w:hAnsi="Cambria" w:cs="Arial"/>
          <w:color w:val="000000"/>
          <w:lang w:val="en-GB"/>
        </w:rPr>
        <w:t>Introduction of Amnesty arrear clearance scheme for LT non industrial category of consumer considering receivable audit report.</w:t>
      </w:r>
    </w:p>
    <w:p w:rsidR="001812B6" w:rsidRPr="000B7D3A" w:rsidRDefault="001812B6" w:rsidP="001812B6">
      <w:pPr>
        <w:numPr>
          <w:ilvl w:val="0"/>
          <w:numId w:val="3"/>
        </w:numPr>
        <w:autoSpaceDE w:val="0"/>
        <w:autoSpaceDN w:val="0"/>
        <w:adjustRightInd w:val="0"/>
        <w:spacing w:after="240" w:line="336" w:lineRule="auto"/>
        <w:jc w:val="both"/>
        <w:rPr>
          <w:rFonts w:ascii="Cambria" w:hAnsi="Cambria"/>
        </w:rPr>
      </w:pPr>
      <w:r w:rsidRPr="000B7D3A">
        <w:rPr>
          <w:rFonts w:ascii="Cambria" w:hAnsi="Cambria"/>
        </w:rPr>
        <w:t xml:space="preserve">Addressing of negative cash flow of </w:t>
      </w:r>
      <w:r>
        <w:rPr>
          <w:rFonts w:ascii="Cambria" w:hAnsi="Cambria"/>
        </w:rPr>
        <w:t>the utility</w:t>
      </w:r>
      <w:r w:rsidRPr="000B7D3A">
        <w:rPr>
          <w:rFonts w:ascii="Cambria" w:hAnsi="Cambria"/>
        </w:rPr>
        <w:t xml:space="preserve"> by giving special </w:t>
      </w:r>
      <w:r>
        <w:rPr>
          <w:rFonts w:ascii="Cambria" w:hAnsi="Cambria"/>
        </w:rPr>
        <w:t>relief towards reduction of BST</w:t>
      </w:r>
      <w:r w:rsidRPr="000B7D3A">
        <w:rPr>
          <w:rFonts w:ascii="Cambria" w:hAnsi="Cambria"/>
        </w:rPr>
        <w:t>.</w:t>
      </w:r>
    </w:p>
    <w:p w:rsidR="001812B6" w:rsidRPr="000B7D3A" w:rsidRDefault="001812B6" w:rsidP="001812B6">
      <w:pPr>
        <w:numPr>
          <w:ilvl w:val="0"/>
          <w:numId w:val="3"/>
        </w:numPr>
        <w:autoSpaceDE w:val="0"/>
        <w:autoSpaceDN w:val="0"/>
        <w:adjustRightInd w:val="0"/>
        <w:spacing w:after="240" w:line="336" w:lineRule="auto"/>
        <w:jc w:val="both"/>
        <w:rPr>
          <w:rFonts w:ascii="Cambria" w:hAnsi="Cambria"/>
        </w:rPr>
      </w:pPr>
      <w:r w:rsidRPr="000B7D3A">
        <w:rPr>
          <w:rFonts w:ascii="Cambria" w:hAnsi="Cambria"/>
        </w:rPr>
        <w:t>Other Tariff rationalization measures as proposed in this application</w:t>
      </w:r>
    </w:p>
    <w:p w:rsidR="001812B6" w:rsidRPr="000B7D3A" w:rsidRDefault="001812B6" w:rsidP="001812B6">
      <w:pPr>
        <w:numPr>
          <w:ilvl w:val="0"/>
          <w:numId w:val="3"/>
        </w:numPr>
        <w:autoSpaceDE w:val="0"/>
        <w:autoSpaceDN w:val="0"/>
        <w:adjustRightInd w:val="0"/>
        <w:spacing w:after="240" w:line="336" w:lineRule="auto"/>
        <w:jc w:val="both"/>
        <w:rPr>
          <w:rFonts w:ascii="Cambria" w:hAnsi="Cambria" w:cs="Arial"/>
          <w:lang w:val="en-GB"/>
        </w:rPr>
      </w:pPr>
      <w:r w:rsidRPr="000B7D3A">
        <w:rPr>
          <w:rFonts w:ascii="Cambria" w:hAnsi="Cambria" w:cs="Arial"/>
          <w:lang w:val="en-GB"/>
        </w:rPr>
        <w:t xml:space="preserve">Allow the </w:t>
      </w:r>
      <w:r>
        <w:rPr>
          <w:rFonts w:ascii="Cambria" w:hAnsi="Cambria" w:cs="Arial"/>
          <w:lang w:val="en-GB"/>
        </w:rPr>
        <w:t>Utility</w:t>
      </w:r>
      <w:r w:rsidRPr="000B7D3A">
        <w:rPr>
          <w:rFonts w:ascii="Cambria" w:hAnsi="Cambria" w:cs="Arial"/>
          <w:lang w:val="en-GB"/>
        </w:rPr>
        <w:t xml:space="preserve"> to submit additional documents, modify the present petition, if so required, during the proceeding of this application.</w:t>
      </w:r>
    </w:p>
    <w:p w:rsidR="008C3AA5" w:rsidRDefault="00C017DA" w:rsidP="00C017DA">
      <w:pPr>
        <w:pStyle w:val="ARR-normalbody"/>
        <w:spacing w:line="336" w:lineRule="auto"/>
        <w:rPr>
          <w:rFonts w:ascii="Cambria" w:hAnsi="Cambria"/>
          <w:sz w:val="24"/>
          <w:szCs w:val="24"/>
        </w:rPr>
      </w:pPr>
      <w:r w:rsidRPr="000B7D3A">
        <w:rPr>
          <w:rFonts w:ascii="Cambria" w:hAnsi="Cambria"/>
          <w:sz w:val="24"/>
          <w:szCs w:val="24"/>
        </w:rPr>
        <w:t>Any other relief, order or direction which the Hon’ble Commission deems fit</w:t>
      </w:r>
      <w:r w:rsidR="00287B9A">
        <w:rPr>
          <w:rFonts w:ascii="Cambria" w:hAnsi="Cambria"/>
          <w:sz w:val="24"/>
          <w:szCs w:val="24"/>
        </w:rPr>
        <w:t>.</w:t>
      </w:r>
    </w:p>
    <w:p w:rsidR="009F1595" w:rsidRPr="00BF0E9D" w:rsidRDefault="009F1595" w:rsidP="009F1595">
      <w:pPr>
        <w:pStyle w:val="BodyText2"/>
        <w:spacing w:before="0" w:after="0" w:line="360" w:lineRule="auto"/>
        <w:ind w:left="5040" w:firstLine="720"/>
        <w:jc w:val="both"/>
        <w:rPr>
          <w:rFonts w:ascii="Cambria" w:hAnsi="Cambria" w:cs="Arial"/>
          <w:b/>
          <w:sz w:val="24"/>
          <w:szCs w:val="24"/>
        </w:rPr>
      </w:pPr>
    </w:p>
    <w:p w:rsidR="009F1595" w:rsidRPr="00BF0E9D" w:rsidRDefault="009F1595" w:rsidP="009F1595">
      <w:pPr>
        <w:pStyle w:val="BodyText2"/>
        <w:spacing w:before="0" w:after="0" w:line="360" w:lineRule="auto"/>
        <w:ind w:left="5040" w:firstLine="720"/>
        <w:jc w:val="both"/>
        <w:rPr>
          <w:rFonts w:ascii="Cambria" w:hAnsi="Cambria" w:cs="Arial"/>
          <w:b/>
          <w:sz w:val="24"/>
          <w:szCs w:val="24"/>
        </w:rPr>
      </w:pPr>
      <w:r w:rsidRPr="00BF0E9D">
        <w:rPr>
          <w:rFonts w:ascii="Cambria" w:hAnsi="Cambria" w:cs="Arial"/>
          <w:b/>
          <w:sz w:val="24"/>
          <w:szCs w:val="24"/>
        </w:rPr>
        <w:t xml:space="preserve">By the Applicant </w:t>
      </w:r>
    </w:p>
    <w:p w:rsidR="009F1595" w:rsidRPr="00BF0E9D" w:rsidRDefault="009F1595" w:rsidP="009F1595">
      <w:pPr>
        <w:pStyle w:val="BodyText2"/>
        <w:spacing w:line="360" w:lineRule="auto"/>
        <w:jc w:val="both"/>
        <w:rPr>
          <w:rFonts w:ascii="Cambria" w:hAnsi="Cambria" w:cs="Arial"/>
          <w:b/>
          <w:sz w:val="24"/>
          <w:szCs w:val="24"/>
        </w:rPr>
      </w:pP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r>
      <w:r w:rsidRPr="00BF0E9D">
        <w:rPr>
          <w:rFonts w:ascii="Cambria" w:hAnsi="Cambria" w:cs="Arial"/>
          <w:b/>
          <w:sz w:val="24"/>
          <w:szCs w:val="24"/>
        </w:rPr>
        <w:tab/>
        <w:t xml:space="preserve"> Through its </w:t>
      </w:r>
      <w:r w:rsidR="007724A4">
        <w:rPr>
          <w:rFonts w:ascii="Cambria" w:hAnsi="Cambria" w:cs="Arial"/>
          <w:b/>
          <w:sz w:val="24"/>
          <w:szCs w:val="24"/>
        </w:rPr>
        <w:t xml:space="preserve">Authorised </w:t>
      </w:r>
      <w:r w:rsidR="00E90FC7">
        <w:rPr>
          <w:rFonts w:ascii="Cambria" w:hAnsi="Cambria" w:cs="Arial"/>
          <w:b/>
          <w:sz w:val="24"/>
          <w:szCs w:val="24"/>
        </w:rPr>
        <w:t>Officer</w:t>
      </w:r>
      <w:r w:rsidRPr="00BF0E9D">
        <w:rPr>
          <w:rFonts w:ascii="Cambria" w:hAnsi="Cambria" w:cs="Arial"/>
          <w:b/>
          <w:sz w:val="24"/>
          <w:szCs w:val="24"/>
        </w:rPr>
        <w:t>.</w:t>
      </w:r>
    </w:p>
    <w:p w:rsidR="00FF46BF" w:rsidRDefault="009F1595" w:rsidP="009F1595">
      <w:pPr>
        <w:pStyle w:val="BodyText2"/>
        <w:spacing w:line="360" w:lineRule="auto"/>
        <w:ind w:firstLine="720"/>
        <w:jc w:val="both"/>
        <w:rPr>
          <w:rFonts w:ascii="Cambria" w:hAnsi="Cambria" w:cs="Arial"/>
          <w:sz w:val="24"/>
          <w:szCs w:val="24"/>
        </w:rPr>
      </w:pPr>
      <w:r w:rsidRPr="00BF0E9D">
        <w:rPr>
          <w:rFonts w:ascii="Cambria" w:hAnsi="Cambria" w:cs="Arial"/>
          <w:sz w:val="24"/>
          <w:szCs w:val="24"/>
        </w:rPr>
        <w:t>Dated:</w:t>
      </w:r>
      <w:r w:rsidR="000C3645">
        <w:rPr>
          <w:rFonts w:ascii="Cambria" w:hAnsi="Cambria" w:cs="Arial"/>
          <w:sz w:val="24"/>
          <w:szCs w:val="24"/>
        </w:rPr>
        <w:t>28</w:t>
      </w:r>
      <w:r w:rsidR="00C319F4">
        <w:rPr>
          <w:rFonts w:ascii="Cambria" w:hAnsi="Cambria" w:cs="Arial"/>
          <w:sz w:val="24"/>
          <w:szCs w:val="24"/>
        </w:rPr>
        <w:t>.11.2019</w:t>
      </w:r>
    </w:p>
    <w:p w:rsidR="009F1595" w:rsidRPr="00BF0E9D" w:rsidRDefault="001E3699" w:rsidP="009F1595">
      <w:pPr>
        <w:pStyle w:val="BodyText2"/>
        <w:spacing w:line="360" w:lineRule="auto"/>
        <w:ind w:firstLine="720"/>
        <w:jc w:val="both"/>
        <w:rPr>
          <w:rFonts w:ascii="Cambria" w:hAnsi="Cambria" w:cs="Arial"/>
          <w:sz w:val="24"/>
          <w:szCs w:val="24"/>
        </w:rPr>
      </w:pPr>
      <w:r>
        <w:rPr>
          <w:rFonts w:ascii="Cambria" w:hAnsi="Cambria" w:cs="Arial"/>
          <w:sz w:val="24"/>
          <w:szCs w:val="24"/>
        </w:rPr>
        <w:t>Place:</w:t>
      </w:r>
      <w:r w:rsidR="000C3645">
        <w:rPr>
          <w:rFonts w:ascii="Cambria" w:hAnsi="Cambria" w:cs="Arial"/>
          <w:sz w:val="24"/>
          <w:szCs w:val="24"/>
        </w:rPr>
        <w:t xml:space="preserve"> Balasore</w:t>
      </w:r>
    </w:p>
    <w:p w:rsidR="009F1595" w:rsidRDefault="009F1595" w:rsidP="009F1595"/>
    <w:p w:rsidR="00D054F6" w:rsidRPr="00BF0E9D" w:rsidRDefault="00D054F6" w:rsidP="00193F8D">
      <w:pPr>
        <w:pStyle w:val="BodyText2"/>
        <w:spacing w:before="0" w:after="0" w:line="360" w:lineRule="auto"/>
        <w:ind w:left="5040" w:firstLine="720"/>
        <w:jc w:val="both"/>
        <w:rPr>
          <w:rFonts w:ascii="Cambria" w:hAnsi="Cambria" w:cs="Arial"/>
          <w:sz w:val="24"/>
          <w:szCs w:val="24"/>
        </w:rPr>
      </w:pPr>
      <w:bookmarkStart w:id="97" w:name="_Toc278631875"/>
      <w:bookmarkStart w:id="98" w:name="_Toc278631878"/>
      <w:bookmarkStart w:id="99" w:name="_Toc278631879"/>
      <w:bookmarkStart w:id="100" w:name="_Toc278631880"/>
      <w:bookmarkStart w:id="101" w:name="_Toc278631881"/>
      <w:bookmarkStart w:id="102" w:name="_Toc278631883"/>
      <w:bookmarkStart w:id="103" w:name="_Toc278632030"/>
      <w:bookmarkStart w:id="104" w:name="_Toc278632036"/>
      <w:bookmarkStart w:id="105" w:name="_Toc278632037"/>
      <w:bookmarkStart w:id="106" w:name="_Toc278632043"/>
      <w:bookmarkStart w:id="107" w:name="_Toc278632044"/>
      <w:bookmarkStart w:id="108" w:name="_Toc278632048"/>
      <w:bookmarkStart w:id="109" w:name="_Toc278632051"/>
      <w:bookmarkStart w:id="110" w:name="_Toc278632073"/>
      <w:bookmarkStart w:id="111" w:name="_Toc278632075"/>
      <w:bookmarkStart w:id="112" w:name="_Toc278632076"/>
      <w:bookmarkStart w:id="113" w:name="_Toc278632078"/>
      <w:bookmarkStart w:id="114" w:name="_Toc278737586"/>
      <w:bookmarkStart w:id="115" w:name="_Toc278737591"/>
      <w:bookmarkStart w:id="116" w:name="_Toc278737592"/>
      <w:bookmarkStart w:id="117" w:name="_Toc215665032"/>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sectPr w:rsidR="00D054F6" w:rsidRPr="00BF0E9D" w:rsidSect="00D81931">
      <w:headerReference w:type="even" r:id="rId9"/>
      <w:headerReference w:type="default" r:id="rId10"/>
      <w:footerReference w:type="even" r:id="rId11"/>
      <w:footerReference w:type="default" r:id="rId12"/>
      <w:headerReference w:type="first" r:id="rId13"/>
      <w:footerReference w:type="first" r:id="rId14"/>
      <w:pgSz w:w="11909" w:h="16834" w:code="9"/>
      <w:pgMar w:top="1440" w:right="1077" w:bottom="1440" w:left="162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0EA9" w:rsidRDefault="00110EA9">
      <w:r>
        <w:separator/>
      </w:r>
    </w:p>
  </w:endnote>
  <w:endnote w:type="continuationSeparator" w:id="1">
    <w:p w:rsidR="00110EA9" w:rsidRDefault="00110E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FKACP+TimesNewRoman">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ELGMPJ+TimesNewRoman,Bold">
    <w:altName w:val="Times New Roman"/>
    <w:panose1 w:val="00000000000000000000"/>
    <w:charset w:val="00"/>
    <w:family w:val="roman"/>
    <w:notTrueType/>
    <w:pitch w:val="default"/>
    <w:sig w:usb0="00000003" w:usb1="00000000" w:usb2="00000000" w:usb3="00000000" w:csb0="00000001" w:csb1="00000000"/>
  </w:font>
  <w:font w:name="Gautami">
    <w:panose1 w:val="020B0502040204020203"/>
    <w:charset w:val="00"/>
    <w:family w:val="swiss"/>
    <w:pitch w:val="variable"/>
    <w:sig w:usb0="002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AE8" w:rsidRDefault="00533AE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AE8" w:rsidRDefault="00533AE8">
    <w:pPr>
      <w:pStyle w:val="Footer"/>
    </w:pPr>
    <w:r>
      <w:tab/>
    </w:r>
    <w:r>
      <w:rPr>
        <w:rStyle w:val="PageNumber"/>
      </w:rPr>
      <w:fldChar w:fldCharType="begin"/>
    </w:r>
    <w:r>
      <w:rPr>
        <w:rStyle w:val="PageNumber"/>
      </w:rPr>
      <w:instrText xml:space="preserve"> PAGE </w:instrText>
    </w:r>
    <w:r>
      <w:rPr>
        <w:rStyle w:val="PageNumber"/>
      </w:rPr>
      <w:fldChar w:fldCharType="separate"/>
    </w:r>
    <w:r w:rsidR="00E011DF">
      <w:rPr>
        <w:rStyle w:val="PageNumber"/>
        <w:noProof/>
      </w:rPr>
      <w:t>4</w:t>
    </w:r>
    <w:r>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AE8" w:rsidRDefault="00533AE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0EA9" w:rsidRDefault="00110EA9">
      <w:r>
        <w:separator/>
      </w:r>
    </w:p>
  </w:footnote>
  <w:footnote w:type="continuationSeparator" w:id="1">
    <w:p w:rsidR="00110EA9" w:rsidRDefault="00110E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AE8" w:rsidRDefault="00533AE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AE8" w:rsidRPr="00F17569" w:rsidRDefault="00533AE8" w:rsidP="00F17569">
    <w:pPr>
      <w:pStyle w:val="Header"/>
      <w:rPr>
        <w:rFonts w:ascii="Arial" w:hAnsi="Arial" w:cs="Arial"/>
        <w:i/>
        <w:u w:val="single"/>
      </w:rPr>
    </w:pPr>
    <w:r>
      <w:rPr>
        <w:rFonts w:ascii="Arial" w:hAnsi="Arial" w:cs="Arial"/>
        <w:i/>
        <w:u w:val="single"/>
      </w:rPr>
      <w:t>NESCO Utility ARR Application– FY 2020-21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AE8" w:rsidRDefault="00533AE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D4A9EDA"/>
    <w:lvl w:ilvl="0">
      <w:numFmt w:val="bullet"/>
      <w:lvlText w:val="*"/>
      <w:lvlJc w:val="left"/>
    </w:lvl>
  </w:abstractNum>
  <w:abstractNum w:abstractNumId="1">
    <w:nsid w:val="04BC4B7D"/>
    <w:multiLevelType w:val="hybridMultilevel"/>
    <w:tmpl w:val="B8F071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A033C6D"/>
    <w:multiLevelType w:val="hybridMultilevel"/>
    <w:tmpl w:val="EEE8C584"/>
    <w:lvl w:ilvl="0" w:tplc="543CF6C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nsid w:val="0A7C6DBC"/>
    <w:multiLevelType w:val="hybridMultilevel"/>
    <w:tmpl w:val="9EEC67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A20791"/>
    <w:multiLevelType w:val="hybridMultilevel"/>
    <w:tmpl w:val="EFE0EDB4"/>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0FAC6D1C"/>
    <w:multiLevelType w:val="hybridMultilevel"/>
    <w:tmpl w:val="CA3E3EF4"/>
    <w:lvl w:ilvl="0" w:tplc="7B249C46">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0FD356E0"/>
    <w:multiLevelType w:val="multilevel"/>
    <w:tmpl w:val="67580698"/>
    <w:lvl w:ilvl="0">
      <w:start w:val="3"/>
      <w:numFmt w:val="decimal"/>
      <w:lvlText w:val="%1."/>
      <w:lvlJc w:val="left"/>
      <w:pPr>
        <w:ind w:left="360" w:hanging="360"/>
      </w:pPr>
      <w:rPr>
        <w:rFonts w:hint="default"/>
      </w:rPr>
    </w:lvl>
    <w:lvl w:ilvl="1">
      <w:start w:val="1"/>
      <w:numFmt w:val="decimal"/>
      <w:lvlText w:val="%1.%2."/>
      <w:lvlJc w:val="left"/>
      <w:pPr>
        <w:ind w:left="522" w:hanging="432"/>
      </w:pPr>
      <w:rPr>
        <w:rFonts w:hint="default"/>
      </w:rPr>
    </w:lvl>
    <w:lvl w:ilvl="2">
      <w:start w:val="1"/>
      <w:numFmt w:val="decimal"/>
      <w:lvlText w:val="%1.%2.%3."/>
      <w:lvlJc w:val="left"/>
      <w:pPr>
        <w:ind w:left="68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7D56A4"/>
    <w:multiLevelType w:val="hybridMultilevel"/>
    <w:tmpl w:val="DBA03524"/>
    <w:lvl w:ilvl="0" w:tplc="16703926">
      <w:start w:val="1"/>
      <w:numFmt w:val="upp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nsid w:val="1C3B4A51"/>
    <w:multiLevelType w:val="hybridMultilevel"/>
    <w:tmpl w:val="976CA27C"/>
    <w:lvl w:ilvl="0" w:tplc="0F6C22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CF632BE"/>
    <w:multiLevelType w:val="multilevel"/>
    <w:tmpl w:val="D2DAA158"/>
    <w:lvl w:ilvl="0">
      <w:start w:val="5"/>
      <w:numFmt w:val="decimal"/>
      <w:lvlText w:val="%1."/>
      <w:lvlJc w:val="left"/>
      <w:pPr>
        <w:ind w:left="360" w:hanging="360"/>
      </w:pPr>
      <w:rPr>
        <w:rFonts w:hint="default"/>
      </w:rPr>
    </w:lvl>
    <w:lvl w:ilvl="1">
      <w:start w:val="1"/>
      <w:numFmt w:val="decimal"/>
      <w:lvlText w:val="%1.%2."/>
      <w:lvlJc w:val="left"/>
      <w:pPr>
        <w:ind w:left="1571" w:hanging="720"/>
      </w:pPr>
      <w:rPr>
        <w:rFonts w:ascii="Cambria" w:hAnsi="Cambria"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nsid w:val="1E4E57E5"/>
    <w:multiLevelType w:val="multilevel"/>
    <w:tmpl w:val="D2DAA158"/>
    <w:lvl w:ilvl="0">
      <w:start w:val="5"/>
      <w:numFmt w:val="decimal"/>
      <w:lvlText w:val="%1."/>
      <w:lvlJc w:val="left"/>
      <w:pPr>
        <w:ind w:left="360" w:hanging="360"/>
      </w:pPr>
      <w:rPr>
        <w:rFonts w:hint="default"/>
      </w:rPr>
    </w:lvl>
    <w:lvl w:ilvl="1">
      <w:start w:val="1"/>
      <w:numFmt w:val="decimal"/>
      <w:lvlText w:val="%1.%2."/>
      <w:lvlJc w:val="left"/>
      <w:pPr>
        <w:ind w:left="1571" w:hanging="720"/>
      </w:pPr>
      <w:rPr>
        <w:rFonts w:ascii="Cambria" w:hAnsi="Cambria"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nsid w:val="21BE1FA6"/>
    <w:multiLevelType w:val="hybridMultilevel"/>
    <w:tmpl w:val="86364A78"/>
    <w:lvl w:ilvl="0" w:tplc="AA66BE0E">
      <w:start w:val="1"/>
      <w:numFmt w:val="bullet"/>
      <w:lvlText w:val=""/>
      <w:lvlJc w:val="left"/>
      <w:pPr>
        <w:tabs>
          <w:tab w:val="num" w:pos="1080"/>
        </w:tabs>
        <w:ind w:left="1080" w:hanging="360"/>
      </w:pPr>
      <w:rPr>
        <w:rFonts w:ascii="Symbol" w:hAnsi="Symbol" w:hint="default"/>
        <w:sz w:val="16"/>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23662CDC"/>
    <w:multiLevelType w:val="hybridMultilevel"/>
    <w:tmpl w:val="2DF22612"/>
    <w:lvl w:ilvl="0" w:tplc="E9D67EFA">
      <w:start w:val="1"/>
      <w:numFmt w:val="decimal"/>
      <w:lvlText w:val="%1)"/>
      <w:lvlJc w:val="left"/>
      <w:pPr>
        <w:ind w:left="786"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2CE4697D"/>
    <w:multiLevelType w:val="hybridMultilevel"/>
    <w:tmpl w:val="A3D46F0C"/>
    <w:lvl w:ilvl="0" w:tplc="8F808D3C">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3228732D"/>
    <w:multiLevelType w:val="multilevel"/>
    <w:tmpl w:val="3C80481C"/>
    <w:lvl w:ilvl="0">
      <w:start w:val="4"/>
      <w:numFmt w:val="decimal"/>
      <w:lvlText w:val="%1."/>
      <w:lvlJc w:val="left"/>
      <w:pPr>
        <w:ind w:left="420" w:hanging="420"/>
      </w:pPr>
      <w:rPr>
        <w:rFonts w:hint="default"/>
      </w:rPr>
    </w:lvl>
    <w:lvl w:ilvl="1">
      <w:start w:val="3"/>
      <w:numFmt w:val="decimal"/>
      <w:lvlText w:val="%1.%2."/>
      <w:lvlJc w:val="left"/>
      <w:pPr>
        <w:ind w:left="2880" w:hanging="72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440" w:hanging="2160"/>
      </w:pPr>
      <w:rPr>
        <w:rFonts w:hint="default"/>
      </w:rPr>
    </w:lvl>
  </w:abstractNum>
  <w:abstractNum w:abstractNumId="15">
    <w:nsid w:val="38CB7DC5"/>
    <w:multiLevelType w:val="hybridMultilevel"/>
    <w:tmpl w:val="66BCAF1E"/>
    <w:lvl w:ilvl="0" w:tplc="40090015">
      <w:start w:val="1"/>
      <w:numFmt w:val="upp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nsid w:val="3A1B5B67"/>
    <w:multiLevelType w:val="hybridMultilevel"/>
    <w:tmpl w:val="18C0BDD8"/>
    <w:lvl w:ilvl="0" w:tplc="FFFFFFFF">
      <w:start w:val="1"/>
      <w:numFmt w:val="lowerLetter"/>
      <w:lvlText w:val="%1."/>
      <w:lvlJc w:val="left"/>
      <w:pPr>
        <w:tabs>
          <w:tab w:val="num" w:pos="720"/>
        </w:tabs>
        <w:ind w:left="720" w:hanging="360"/>
      </w:pPr>
    </w:lvl>
    <w:lvl w:ilvl="1" w:tplc="F01AC3DC">
      <w:start w:val="1"/>
      <w:numFmt w:val="decimal"/>
      <w:lvlText w:val="%2."/>
      <w:lvlJc w:val="left"/>
      <w:pPr>
        <w:tabs>
          <w:tab w:val="num" w:pos="810"/>
        </w:tabs>
        <w:ind w:left="810" w:hanging="360"/>
      </w:pPr>
      <w:rPr>
        <w:rFonts w:hint="default"/>
      </w:rPr>
    </w:lvl>
    <w:lvl w:ilvl="2" w:tplc="8DBAB90C">
      <w:start w:val="1"/>
      <w:numFmt w:val="lowerLetter"/>
      <w:lvlText w:val="%3)"/>
      <w:lvlJc w:val="left"/>
      <w:pPr>
        <w:tabs>
          <w:tab w:val="num" w:pos="1620"/>
        </w:tabs>
        <w:ind w:left="1620" w:hanging="360"/>
      </w:pPr>
      <w:rPr>
        <w:rFonts w:cs="Arial" w:hint="default"/>
      </w:r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7">
    <w:nsid w:val="5242742A"/>
    <w:multiLevelType w:val="hybridMultilevel"/>
    <w:tmpl w:val="9B3249C6"/>
    <w:lvl w:ilvl="0" w:tplc="40090001">
      <w:start w:val="1"/>
      <w:numFmt w:val="bullet"/>
      <w:lvlText w:val=""/>
      <w:lvlJc w:val="left"/>
      <w:pPr>
        <w:tabs>
          <w:tab w:val="num" w:pos="360"/>
        </w:tabs>
        <w:ind w:left="360" w:hanging="360"/>
      </w:pPr>
      <w:rPr>
        <w:rFonts w:ascii="Symbol" w:hAnsi="Symbol" w:hint="default"/>
      </w:rPr>
    </w:lvl>
    <w:lvl w:ilvl="1" w:tplc="40090003">
      <w:start w:val="1"/>
      <w:numFmt w:val="bullet"/>
      <w:lvlText w:val="o"/>
      <w:lvlJc w:val="left"/>
      <w:pPr>
        <w:tabs>
          <w:tab w:val="num" w:pos="1080"/>
        </w:tabs>
        <w:ind w:left="1080" w:hanging="360"/>
      </w:pPr>
      <w:rPr>
        <w:rFonts w:ascii="Courier New" w:hAnsi="Courier New" w:cs="Courier New" w:hint="default"/>
      </w:rPr>
    </w:lvl>
    <w:lvl w:ilvl="2" w:tplc="40090005">
      <w:start w:val="1"/>
      <w:numFmt w:val="bullet"/>
      <w:lvlText w:val=""/>
      <w:lvlJc w:val="left"/>
      <w:pPr>
        <w:tabs>
          <w:tab w:val="num" w:pos="1800"/>
        </w:tabs>
        <w:ind w:left="1800" w:hanging="360"/>
      </w:pPr>
      <w:rPr>
        <w:rFonts w:ascii="Wingdings" w:hAnsi="Wingdings" w:hint="default"/>
      </w:rPr>
    </w:lvl>
    <w:lvl w:ilvl="3" w:tplc="40090001">
      <w:start w:val="1"/>
      <w:numFmt w:val="bullet"/>
      <w:lvlText w:val=""/>
      <w:lvlJc w:val="left"/>
      <w:pPr>
        <w:tabs>
          <w:tab w:val="num" w:pos="2520"/>
        </w:tabs>
        <w:ind w:left="2520" w:hanging="360"/>
      </w:pPr>
      <w:rPr>
        <w:rFonts w:ascii="Symbol" w:hAnsi="Symbol" w:hint="default"/>
      </w:rPr>
    </w:lvl>
    <w:lvl w:ilvl="4" w:tplc="40090003">
      <w:start w:val="1"/>
      <w:numFmt w:val="bullet"/>
      <w:lvlText w:val="o"/>
      <w:lvlJc w:val="left"/>
      <w:pPr>
        <w:tabs>
          <w:tab w:val="num" w:pos="3240"/>
        </w:tabs>
        <w:ind w:left="3240" w:hanging="360"/>
      </w:pPr>
      <w:rPr>
        <w:rFonts w:ascii="Courier New" w:hAnsi="Courier New" w:cs="Courier New" w:hint="default"/>
      </w:rPr>
    </w:lvl>
    <w:lvl w:ilvl="5" w:tplc="40090005">
      <w:start w:val="1"/>
      <w:numFmt w:val="bullet"/>
      <w:lvlText w:val=""/>
      <w:lvlJc w:val="left"/>
      <w:pPr>
        <w:tabs>
          <w:tab w:val="num" w:pos="3960"/>
        </w:tabs>
        <w:ind w:left="3960" w:hanging="360"/>
      </w:pPr>
      <w:rPr>
        <w:rFonts w:ascii="Wingdings" w:hAnsi="Wingdings" w:hint="default"/>
      </w:rPr>
    </w:lvl>
    <w:lvl w:ilvl="6" w:tplc="40090001">
      <w:start w:val="1"/>
      <w:numFmt w:val="bullet"/>
      <w:lvlText w:val=""/>
      <w:lvlJc w:val="left"/>
      <w:pPr>
        <w:tabs>
          <w:tab w:val="num" w:pos="4680"/>
        </w:tabs>
        <w:ind w:left="4680" w:hanging="360"/>
      </w:pPr>
      <w:rPr>
        <w:rFonts w:ascii="Symbol" w:hAnsi="Symbol" w:hint="default"/>
      </w:rPr>
    </w:lvl>
    <w:lvl w:ilvl="7" w:tplc="40090003">
      <w:start w:val="1"/>
      <w:numFmt w:val="bullet"/>
      <w:lvlText w:val="o"/>
      <w:lvlJc w:val="left"/>
      <w:pPr>
        <w:tabs>
          <w:tab w:val="num" w:pos="5400"/>
        </w:tabs>
        <w:ind w:left="5400" w:hanging="360"/>
      </w:pPr>
      <w:rPr>
        <w:rFonts w:ascii="Courier New" w:hAnsi="Courier New" w:cs="Courier New" w:hint="default"/>
      </w:rPr>
    </w:lvl>
    <w:lvl w:ilvl="8" w:tplc="40090005">
      <w:start w:val="1"/>
      <w:numFmt w:val="bullet"/>
      <w:lvlText w:val=""/>
      <w:lvlJc w:val="left"/>
      <w:pPr>
        <w:tabs>
          <w:tab w:val="num" w:pos="6120"/>
        </w:tabs>
        <w:ind w:left="6120" w:hanging="360"/>
      </w:pPr>
      <w:rPr>
        <w:rFonts w:ascii="Wingdings" w:hAnsi="Wingdings" w:hint="default"/>
      </w:rPr>
    </w:lvl>
  </w:abstractNum>
  <w:abstractNum w:abstractNumId="18">
    <w:nsid w:val="52821B06"/>
    <w:multiLevelType w:val="hybridMultilevel"/>
    <w:tmpl w:val="C06EDD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9">
    <w:nsid w:val="55AF643F"/>
    <w:multiLevelType w:val="multilevel"/>
    <w:tmpl w:val="952433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74"/>
        </w:tabs>
        <w:ind w:left="574" w:hanging="432"/>
      </w:pPr>
      <w:rPr>
        <w:rFonts w:hint="default"/>
        <w:b/>
        <w:sz w:val="22"/>
        <w:szCs w:val="22"/>
      </w:rPr>
    </w:lvl>
    <w:lvl w:ilvl="2">
      <w:start w:val="1"/>
      <w:numFmt w:val="decimal"/>
      <w:lvlText w:val="%1.%2.%3."/>
      <w:lvlJc w:val="left"/>
      <w:pPr>
        <w:tabs>
          <w:tab w:val="num" w:pos="1355"/>
        </w:tabs>
        <w:ind w:left="1355" w:hanging="504"/>
      </w:pPr>
      <w:rPr>
        <w:rFonts w:hint="default"/>
        <w:b/>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5A792FF6"/>
    <w:multiLevelType w:val="multilevel"/>
    <w:tmpl w:val="7F30DA5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nsid w:val="5D391BBA"/>
    <w:multiLevelType w:val="multilevel"/>
    <w:tmpl w:val="C9BE38B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2">
    <w:nsid w:val="6112309E"/>
    <w:multiLevelType w:val="hybridMultilevel"/>
    <w:tmpl w:val="9B14CF12"/>
    <w:lvl w:ilvl="0" w:tplc="31FC1082">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3">
    <w:nsid w:val="67C542EF"/>
    <w:multiLevelType w:val="multilevel"/>
    <w:tmpl w:val="30C2FD4E"/>
    <w:lvl w:ilvl="0">
      <w:start w:val="9"/>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4">
    <w:nsid w:val="69DE264E"/>
    <w:multiLevelType w:val="multilevel"/>
    <w:tmpl w:val="3F04CDCA"/>
    <w:lvl w:ilvl="0">
      <w:start w:val="1"/>
      <w:numFmt w:val="decimal"/>
      <w:lvlText w:val="%1"/>
      <w:lvlJc w:val="left"/>
      <w:pPr>
        <w:tabs>
          <w:tab w:val="num" w:pos="360"/>
        </w:tabs>
        <w:ind w:left="360" w:hanging="360"/>
      </w:pPr>
      <w:rPr>
        <w:rFonts w:hint="default"/>
      </w:rPr>
    </w:lvl>
    <w:lvl w:ilvl="1">
      <w:start w:val="1"/>
      <w:numFmt w:val="lowerRoman"/>
      <w:lvlText w:val="%2."/>
      <w:lvlJc w:val="righ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1267F11"/>
    <w:multiLevelType w:val="hybridMultilevel"/>
    <w:tmpl w:val="E472A2C6"/>
    <w:lvl w:ilvl="0" w:tplc="3B709C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151009F"/>
    <w:multiLevelType w:val="hybridMultilevel"/>
    <w:tmpl w:val="C2F85D8C"/>
    <w:lvl w:ilvl="0" w:tplc="8ED035F8">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nsid w:val="71F21125"/>
    <w:multiLevelType w:val="hybridMultilevel"/>
    <w:tmpl w:val="D068D642"/>
    <w:lvl w:ilvl="0" w:tplc="40090009">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8">
    <w:nsid w:val="7BA7039A"/>
    <w:multiLevelType w:val="multilevel"/>
    <w:tmpl w:val="BFCEC534"/>
    <w:lvl w:ilvl="0">
      <w:start w:val="2"/>
      <w:numFmt w:val="decimal"/>
      <w:lvlText w:val="%1."/>
      <w:lvlJc w:val="left"/>
      <w:pPr>
        <w:ind w:left="630" w:hanging="630"/>
      </w:pPr>
      <w:rPr>
        <w:rFonts w:hint="default"/>
      </w:rPr>
    </w:lvl>
    <w:lvl w:ilvl="1">
      <w:start w:val="9"/>
      <w:numFmt w:val="decimal"/>
      <w:lvlText w:val="%1.%2."/>
      <w:lvlJc w:val="left"/>
      <w:pPr>
        <w:ind w:left="1440" w:hanging="72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9">
    <w:nsid w:val="7CFB7A7E"/>
    <w:multiLevelType w:val="hybridMultilevel"/>
    <w:tmpl w:val="8E3AC356"/>
    <w:lvl w:ilvl="0" w:tplc="94EEECAC">
      <w:start w:val="1"/>
      <w:numFmt w:val="lowerRoman"/>
      <w:lvlText w:val="%1."/>
      <w:lvlJc w:val="left"/>
      <w:pPr>
        <w:tabs>
          <w:tab w:val="num" w:pos="1740"/>
        </w:tabs>
        <w:ind w:left="1740" w:hanging="720"/>
      </w:pPr>
      <w:rPr>
        <w:rFonts w:hint="default"/>
      </w:rPr>
    </w:lvl>
    <w:lvl w:ilvl="1" w:tplc="65282E36">
      <w:start w:val="1"/>
      <w:numFmt w:val="lowerLetter"/>
      <w:lvlText w:val="%2."/>
      <w:lvlJc w:val="left"/>
      <w:pPr>
        <w:tabs>
          <w:tab w:val="num" w:pos="2100"/>
        </w:tabs>
        <w:ind w:left="2100" w:hanging="360"/>
      </w:pPr>
      <w:rPr>
        <w:rFonts w:hint="default"/>
        <w:sz w:val="20"/>
      </w:r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30">
    <w:nsid w:val="7F703FB1"/>
    <w:multiLevelType w:val="hybridMultilevel"/>
    <w:tmpl w:val="3A2AAF3E"/>
    <w:lvl w:ilvl="0" w:tplc="4A0892DC">
      <w:start w:val="1"/>
      <w:numFmt w:val="bullet"/>
      <w:lvlText w:val=""/>
      <w:lvlJc w:val="left"/>
      <w:pPr>
        <w:tabs>
          <w:tab w:val="num" w:pos="720"/>
        </w:tabs>
        <w:ind w:left="720" w:hanging="360"/>
      </w:pPr>
      <w:rPr>
        <w:rFonts w:ascii="Wingdings" w:hAnsi="Wingdings" w:hint="default"/>
      </w:rPr>
    </w:lvl>
    <w:lvl w:ilvl="1" w:tplc="7E38CE20">
      <w:start w:val="1"/>
      <w:numFmt w:val="bullet"/>
      <w:lvlText w:val=""/>
      <w:lvlJc w:val="left"/>
      <w:pPr>
        <w:tabs>
          <w:tab w:val="num" w:pos="1440"/>
        </w:tabs>
        <w:ind w:left="1440" w:hanging="360"/>
      </w:pPr>
      <w:rPr>
        <w:rFonts w:ascii="Wingdings" w:hAnsi="Wingdings" w:hint="default"/>
      </w:rPr>
    </w:lvl>
    <w:lvl w:ilvl="2" w:tplc="50C046B2" w:tentative="1">
      <w:start w:val="1"/>
      <w:numFmt w:val="bullet"/>
      <w:lvlText w:val=""/>
      <w:lvlJc w:val="left"/>
      <w:pPr>
        <w:tabs>
          <w:tab w:val="num" w:pos="2160"/>
        </w:tabs>
        <w:ind w:left="2160" w:hanging="360"/>
      </w:pPr>
      <w:rPr>
        <w:rFonts w:ascii="Wingdings" w:hAnsi="Wingdings" w:hint="default"/>
      </w:rPr>
    </w:lvl>
    <w:lvl w:ilvl="3" w:tplc="A8A68338" w:tentative="1">
      <w:start w:val="1"/>
      <w:numFmt w:val="bullet"/>
      <w:lvlText w:val=""/>
      <w:lvlJc w:val="left"/>
      <w:pPr>
        <w:tabs>
          <w:tab w:val="num" w:pos="2880"/>
        </w:tabs>
        <w:ind w:left="2880" w:hanging="360"/>
      </w:pPr>
      <w:rPr>
        <w:rFonts w:ascii="Wingdings" w:hAnsi="Wingdings" w:hint="default"/>
      </w:rPr>
    </w:lvl>
    <w:lvl w:ilvl="4" w:tplc="614AD066" w:tentative="1">
      <w:start w:val="1"/>
      <w:numFmt w:val="bullet"/>
      <w:lvlText w:val=""/>
      <w:lvlJc w:val="left"/>
      <w:pPr>
        <w:tabs>
          <w:tab w:val="num" w:pos="3600"/>
        </w:tabs>
        <w:ind w:left="3600" w:hanging="360"/>
      </w:pPr>
      <w:rPr>
        <w:rFonts w:ascii="Wingdings" w:hAnsi="Wingdings" w:hint="default"/>
      </w:rPr>
    </w:lvl>
    <w:lvl w:ilvl="5" w:tplc="97F8AF5E" w:tentative="1">
      <w:start w:val="1"/>
      <w:numFmt w:val="bullet"/>
      <w:lvlText w:val=""/>
      <w:lvlJc w:val="left"/>
      <w:pPr>
        <w:tabs>
          <w:tab w:val="num" w:pos="4320"/>
        </w:tabs>
        <w:ind w:left="4320" w:hanging="360"/>
      </w:pPr>
      <w:rPr>
        <w:rFonts w:ascii="Wingdings" w:hAnsi="Wingdings" w:hint="default"/>
      </w:rPr>
    </w:lvl>
    <w:lvl w:ilvl="6" w:tplc="21F4F870" w:tentative="1">
      <w:start w:val="1"/>
      <w:numFmt w:val="bullet"/>
      <w:lvlText w:val=""/>
      <w:lvlJc w:val="left"/>
      <w:pPr>
        <w:tabs>
          <w:tab w:val="num" w:pos="5040"/>
        </w:tabs>
        <w:ind w:left="5040" w:hanging="360"/>
      </w:pPr>
      <w:rPr>
        <w:rFonts w:ascii="Wingdings" w:hAnsi="Wingdings" w:hint="default"/>
      </w:rPr>
    </w:lvl>
    <w:lvl w:ilvl="7" w:tplc="6D6E80CA" w:tentative="1">
      <w:start w:val="1"/>
      <w:numFmt w:val="bullet"/>
      <w:lvlText w:val=""/>
      <w:lvlJc w:val="left"/>
      <w:pPr>
        <w:tabs>
          <w:tab w:val="num" w:pos="5760"/>
        </w:tabs>
        <w:ind w:left="5760" w:hanging="360"/>
      </w:pPr>
      <w:rPr>
        <w:rFonts w:ascii="Wingdings" w:hAnsi="Wingdings" w:hint="default"/>
      </w:rPr>
    </w:lvl>
    <w:lvl w:ilvl="8" w:tplc="5122E30E"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11"/>
  </w:num>
  <w:num w:numId="4">
    <w:abstractNumId w:val="29"/>
  </w:num>
  <w:num w:numId="5">
    <w:abstractNumId w:val="0"/>
    <w:lvlOverride w:ilvl="0">
      <w:lvl w:ilvl="0">
        <w:numFmt w:val="bullet"/>
        <w:lvlText w:val=""/>
        <w:legacy w:legacy="1" w:legacySpace="0" w:legacyIndent="360"/>
        <w:lvlJc w:val="left"/>
        <w:rPr>
          <w:rFonts w:ascii="Symbol" w:hAnsi="Symbol" w:hint="default"/>
        </w:rPr>
      </w:lvl>
    </w:lvlOverride>
  </w:num>
  <w:num w:numId="6">
    <w:abstractNumId w:val="16"/>
  </w:num>
  <w:num w:numId="7">
    <w:abstractNumId w:val="3"/>
  </w:num>
  <w:num w:numId="8">
    <w:abstractNumId w:val="28"/>
  </w:num>
  <w:num w:numId="9">
    <w:abstractNumId w:val="14"/>
  </w:num>
  <w:num w:numId="10">
    <w:abstractNumId w:val="10"/>
  </w:num>
  <w:num w:numId="11">
    <w:abstractNumId w:val="25"/>
  </w:num>
  <w:num w:numId="12">
    <w:abstractNumId w:val="8"/>
  </w:num>
  <w:num w:numId="13">
    <w:abstractNumId w:val="20"/>
  </w:num>
  <w:num w:numId="14">
    <w:abstractNumId w:val="21"/>
  </w:num>
  <w:num w:numId="15">
    <w:abstractNumId w:val="23"/>
  </w:num>
  <w:num w:numId="16">
    <w:abstractNumId w:val="15"/>
  </w:num>
  <w:num w:numId="17">
    <w:abstractNumId w:val="22"/>
  </w:num>
  <w:num w:numId="18">
    <w:abstractNumId w:val="6"/>
  </w:num>
  <w:num w:numId="19">
    <w:abstractNumId w:val="18"/>
  </w:num>
  <w:num w:numId="20">
    <w:abstractNumId w:val="13"/>
  </w:num>
  <w:num w:numId="21">
    <w:abstractNumId w:val="2"/>
  </w:num>
  <w:num w:numId="22">
    <w:abstractNumId w:val="26"/>
  </w:num>
  <w:num w:numId="23">
    <w:abstractNumId w:val="5"/>
  </w:num>
  <w:num w:numId="24">
    <w:abstractNumId w:val="7"/>
  </w:num>
  <w:num w:numId="25">
    <w:abstractNumId w:val="30"/>
  </w:num>
  <w:num w:numId="26">
    <w:abstractNumId w:val="17"/>
  </w:num>
  <w:num w:numId="27">
    <w:abstractNumId w:val="4"/>
  </w:num>
  <w:num w:numId="28">
    <w:abstractNumId w:val="27"/>
  </w:num>
  <w:num w:numId="29">
    <w:abstractNumId w:val="12"/>
  </w:num>
  <w:num w:numId="30">
    <w:abstractNumId w:val="1"/>
  </w:num>
  <w:num w:numId="31">
    <w:abstractNumId w:val="9"/>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20"/>
  <w:noPunctuationKerning/>
  <w:characterSpacingControl w:val="doNotCompress"/>
  <w:footnotePr>
    <w:footnote w:id="0"/>
    <w:footnote w:id="1"/>
  </w:footnotePr>
  <w:endnotePr>
    <w:endnote w:id="0"/>
    <w:endnote w:id="1"/>
  </w:endnotePr>
  <w:compat/>
  <w:rsids>
    <w:rsidRoot w:val="004D4C04"/>
    <w:rsid w:val="000017C3"/>
    <w:rsid w:val="00002460"/>
    <w:rsid w:val="00002763"/>
    <w:rsid w:val="00002911"/>
    <w:rsid w:val="00003081"/>
    <w:rsid w:val="00003419"/>
    <w:rsid w:val="00003797"/>
    <w:rsid w:val="00003916"/>
    <w:rsid w:val="00003B49"/>
    <w:rsid w:val="00003EC5"/>
    <w:rsid w:val="000054A9"/>
    <w:rsid w:val="00005A2B"/>
    <w:rsid w:val="00006006"/>
    <w:rsid w:val="00007F0A"/>
    <w:rsid w:val="000102DB"/>
    <w:rsid w:val="00010711"/>
    <w:rsid w:val="00011214"/>
    <w:rsid w:val="000115A5"/>
    <w:rsid w:val="000129C4"/>
    <w:rsid w:val="00013A4E"/>
    <w:rsid w:val="00013FBC"/>
    <w:rsid w:val="00014982"/>
    <w:rsid w:val="000152D7"/>
    <w:rsid w:val="00020F7D"/>
    <w:rsid w:val="0002196E"/>
    <w:rsid w:val="00021A7D"/>
    <w:rsid w:val="0002252F"/>
    <w:rsid w:val="000225DE"/>
    <w:rsid w:val="000227D6"/>
    <w:rsid w:val="000228BC"/>
    <w:rsid w:val="00023703"/>
    <w:rsid w:val="000245C1"/>
    <w:rsid w:val="000254D9"/>
    <w:rsid w:val="000263F3"/>
    <w:rsid w:val="0002724E"/>
    <w:rsid w:val="00027C67"/>
    <w:rsid w:val="00027C95"/>
    <w:rsid w:val="000312E2"/>
    <w:rsid w:val="00032BFA"/>
    <w:rsid w:val="000334F1"/>
    <w:rsid w:val="00034C6A"/>
    <w:rsid w:val="000351CA"/>
    <w:rsid w:val="00035F47"/>
    <w:rsid w:val="00036E57"/>
    <w:rsid w:val="00037AF8"/>
    <w:rsid w:val="00037E2F"/>
    <w:rsid w:val="0004034E"/>
    <w:rsid w:val="00040C52"/>
    <w:rsid w:val="00041054"/>
    <w:rsid w:val="00042124"/>
    <w:rsid w:val="00043D77"/>
    <w:rsid w:val="0004407D"/>
    <w:rsid w:val="00045C4A"/>
    <w:rsid w:val="00046940"/>
    <w:rsid w:val="000474A2"/>
    <w:rsid w:val="00047F77"/>
    <w:rsid w:val="000508B6"/>
    <w:rsid w:val="00051389"/>
    <w:rsid w:val="00051CA1"/>
    <w:rsid w:val="00052D1B"/>
    <w:rsid w:val="0005349D"/>
    <w:rsid w:val="00053658"/>
    <w:rsid w:val="00054420"/>
    <w:rsid w:val="000551FD"/>
    <w:rsid w:val="0006119F"/>
    <w:rsid w:val="000636C2"/>
    <w:rsid w:val="000636F8"/>
    <w:rsid w:val="00063DA4"/>
    <w:rsid w:val="0006486E"/>
    <w:rsid w:val="00064FE2"/>
    <w:rsid w:val="00066311"/>
    <w:rsid w:val="00066348"/>
    <w:rsid w:val="00067136"/>
    <w:rsid w:val="000677CC"/>
    <w:rsid w:val="00067D49"/>
    <w:rsid w:val="000715C3"/>
    <w:rsid w:val="0007246A"/>
    <w:rsid w:val="0007272F"/>
    <w:rsid w:val="00072B11"/>
    <w:rsid w:val="00073332"/>
    <w:rsid w:val="00075E4F"/>
    <w:rsid w:val="00075F40"/>
    <w:rsid w:val="00076FB1"/>
    <w:rsid w:val="000774F7"/>
    <w:rsid w:val="00077789"/>
    <w:rsid w:val="0008124C"/>
    <w:rsid w:val="00081359"/>
    <w:rsid w:val="00082F15"/>
    <w:rsid w:val="00083499"/>
    <w:rsid w:val="00083C89"/>
    <w:rsid w:val="00085757"/>
    <w:rsid w:val="00085D94"/>
    <w:rsid w:val="00086E59"/>
    <w:rsid w:val="0008775C"/>
    <w:rsid w:val="00087948"/>
    <w:rsid w:val="00087A4F"/>
    <w:rsid w:val="00090FBC"/>
    <w:rsid w:val="000910C0"/>
    <w:rsid w:val="000929C1"/>
    <w:rsid w:val="00092DDD"/>
    <w:rsid w:val="00093681"/>
    <w:rsid w:val="00094678"/>
    <w:rsid w:val="0009486F"/>
    <w:rsid w:val="000948C5"/>
    <w:rsid w:val="00096AB4"/>
    <w:rsid w:val="00096C7C"/>
    <w:rsid w:val="00097007"/>
    <w:rsid w:val="00097476"/>
    <w:rsid w:val="00097805"/>
    <w:rsid w:val="000A0B67"/>
    <w:rsid w:val="000A0D29"/>
    <w:rsid w:val="000A1C1B"/>
    <w:rsid w:val="000A2671"/>
    <w:rsid w:val="000A4031"/>
    <w:rsid w:val="000A4A0E"/>
    <w:rsid w:val="000A5E43"/>
    <w:rsid w:val="000A606C"/>
    <w:rsid w:val="000A6150"/>
    <w:rsid w:val="000A6635"/>
    <w:rsid w:val="000A6D1A"/>
    <w:rsid w:val="000A71D6"/>
    <w:rsid w:val="000B03A4"/>
    <w:rsid w:val="000B09F1"/>
    <w:rsid w:val="000B0A9F"/>
    <w:rsid w:val="000B15EC"/>
    <w:rsid w:val="000B3FE0"/>
    <w:rsid w:val="000B48FC"/>
    <w:rsid w:val="000B4D1A"/>
    <w:rsid w:val="000B4FAC"/>
    <w:rsid w:val="000B562D"/>
    <w:rsid w:val="000B6892"/>
    <w:rsid w:val="000B6A39"/>
    <w:rsid w:val="000B6CAC"/>
    <w:rsid w:val="000B7BB6"/>
    <w:rsid w:val="000B7D3A"/>
    <w:rsid w:val="000C01C8"/>
    <w:rsid w:val="000C01F7"/>
    <w:rsid w:val="000C0F76"/>
    <w:rsid w:val="000C1A57"/>
    <w:rsid w:val="000C22DA"/>
    <w:rsid w:val="000C2942"/>
    <w:rsid w:val="000C3645"/>
    <w:rsid w:val="000C4724"/>
    <w:rsid w:val="000C4B6B"/>
    <w:rsid w:val="000C52C7"/>
    <w:rsid w:val="000C53A5"/>
    <w:rsid w:val="000C67DC"/>
    <w:rsid w:val="000C699F"/>
    <w:rsid w:val="000C7050"/>
    <w:rsid w:val="000C7A35"/>
    <w:rsid w:val="000C7D33"/>
    <w:rsid w:val="000C7F7A"/>
    <w:rsid w:val="000D013D"/>
    <w:rsid w:val="000D4D4C"/>
    <w:rsid w:val="000D5A3F"/>
    <w:rsid w:val="000D643D"/>
    <w:rsid w:val="000D6FB5"/>
    <w:rsid w:val="000D7D1C"/>
    <w:rsid w:val="000E0984"/>
    <w:rsid w:val="000E14EE"/>
    <w:rsid w:val="000E1615"/>
    <w:rsid w:val="000E1AEC"/>
    <w:rsid w:val="000E2EBF"/>
    <w:rsid w:val="000E4222"/>
    <w:rsid w:val="000E49D8"/>
    <w:rsid w:val="000E4BAF"/>
    <w:rsid w:val="000E4E49"/>
    <w:rsid w:val="000E51D7"/>
    <w:rsid w:val="000E6E93"/>
    <w:rsid w:val="000E783E"/>
    <w:rsid w:val="000F0720"/>
    <w:rsid w:val="000F0CB6"/>
    <w:rsid w:val="000F13CF"/>
    <w:rsid w:val="000F1445"/>
    <w:rsid w:val="000F1ED2"/>
    <w:rsid w:val="000F2575"/>
    <w:rsid w:val="000F2B9B"/>
    <w:rsid w:val="000F3A26"/>
    <w:rsid w:val="000F3BA5"/>
    <w:rsid w:val="000F3C65"/>
    <w:rsid w:val="000F3E52"/>
    <w:rsid w:val="000F4840"/>
    <w:rsid w:val="000F51F7"/>
    <w:rsid w:val="000F5FEB"/>
    <w:rsid w:val="000F6963"/>
    <w:rsid w:val="000F7E8E"/>
    <w:rsid w:val="00100709"/>
    <w:rsid w:val="00100AA6"/>
    <w:rsid w:val="00100ACE"/>
    <w:rsid w:val="00100CBD"/>
    <w:rsid w:val="00101082"/>
    <w:rsid w:val="0010237C"/>
    <w:rsid w:val="00102DC7"/>
    <w:rsid w:val="00103634"/>
    <w:rsid w:val="00104D3A"/>
    <w:rsid w:val="00104DC5"/>
    <w:rsid w:val="001068B7"/>
    <w:rsid w:val="00107929"/>
    <w:rsid w:val="00107E7D"/>
    <w:rsid w:val="001105FE"/>
    <w:rsid w:val="00110850"/>
    <w:rsid w:val="00110EA9"/>
    <w:rsid w:val="001114E8"/>
    <w:rsid w:val="0011171F"/>
    <w:rsid w:val="001135E4"/>
    <w:rsid w:val="00113D4D"/>
    <w:rsid w:val="00114CF8"/>
    <w:rsid w:val="00115058"/>
    <w:rsid w:val="00115086"/>
    <w:rsid w:val="001160CA"/>
    <w:rsid w:val="0011654B"/>
    <w:rsid w:val="00116AF0"/>
    <w:rsid w:val="00117738"/>
    <w:rsid w:val="00120325"/>
    <w:rsid w:val="0012044D"/>
    <w:rsid w:val="0012078F"/>
    <w:rsid w:val="00120861"/>
    <w:rsid w:val="001210D3"/>
    <w:rsid w:val="001213C8"/>
    <w:rsid w:val="0012198C"/>
    <w:rsid w:val="00122082"/>
    <w:rsid w:val="001221BC"/>
    <w:rsid w:val="00123021"/>
    <w:rsid w:val="00124232"/>
    <w:rsid w:val="0012476E"/>
    <w:rsid w:val="00125DAC"/>
    <w:rsid w:val="00126345"/>
    <w:rsid w:val="00127B23"/>
    <w:rsid w:val="00127BA7"/>
    <w:rsid w:val="00131CCB"/>
    <w:rsid w:val="00132306"/>
    <w:rsid w:val="00132E55"/>
    <w:rsid w:val="0013418D"/>
    <w:rsid w:val="001343BD"/>
    <w:rsid w:val="00134ECC"/>
    <w:rsid w:val="0013519B"/>
    <w:rsid w:val="00136113"/>
    <w:rsid w:val="00136880"/>
    <w:rsid w:val="00140385"/>
    <w:rsid w:val="001408A6"/>
    <w:rsid w:val="001408F4"/>
    <w:rsid w:val="00143CE1"/>
    <w:rsid w:val="0014404B"/>
    <w:rsid w:val="001442D6"/>
    <w:rsid w:val="001456A8"/>
    <w:rsid w:val="0014591E"/>
    <w:rsid w:val="00145BF0"/>
    <w:rsid w:val="00145DF3"/>
    <w:rsid w:val="00145F36"/>
    <w:rsid w:val="00146481"/>
    <w:rsid w:val="00146979"/>
    <w:rsid w:val="00146BFB"/>
    <w:rsid w:val="00147403"/>
    <w:rsid w:val="001478FC"/>
    <w:rsid w:val="00147B9B"/>
    <w:rsid w:val="001513DC"/>
    <w:rsid w:val="0015173D"/>
    <w:rsid w:val="00151BCC"/>
    <w:rsid w:val="00151FBF"/>
    <w:rsid w:val="00155571"/>
    <w:rsid w:val="00155DDE"/>
    <w:rsid w:val="00157564"/>
    <w:rsid w:val="00157C67"/>
    <w:rsid w:val="001613A4"/>
    <w:rsid w:val="0016216A"/>
    <w:rsid w:val="00163084"/>
    <w:rsid w:val="00164093"/>
    <w:rsid w:val="001647C8"/>
    <w:rsid w:val="00165964"/>
    <w:rsid w:val="00165AA6"/>
    <w:rsid w:val="0016702A"/>
    <w:rsid w:val="0016757C"/>
    <w:rsid w:val="00170142"/>
    <w:rsid w:val="0017095C"/>
    <w:rsid w:val="0017123D"/>
    <w:rsid w:val="0017170A"/>
    <w:rsid w:val="00172781"/>
    <w:rsid w:val="0017393E"/>
    <w:rsid w:val="00173CB6"/>
    <w:rsid w:val="00174782"/>
    <w:rsid w:val="00175581"/>
    <w:rsid w:val="00175753"/>
    <w:rsid w:val="001760C9"/>
    <w:rsid w:val="001806A4"/>
    <w:rsid w:val="00180A4F"/>
    <w:rsid w:val="00180D33"/>
    <w:rsid w:val="001812B6"/>
    <w:rsid w:val="00182308"/>
    <w:rsid w:val="0018286A"/>
    <w:rsid w:val="00183CB7"/>
    <w:rsid w:val="00184A4F"/>
    <w:rsid w:val="00184D82"/>
    <w:rsid w:val="00185E86"/>
    <w:rsid w:val="00187407"/>
    <w:rsid w:val="00190613"/>
    <w:rsid w:val="001916EE"/>
    <w:rsid w:val="00192BB7"/>
    <w:rsid w:val="00192CEA"/>
    <w:rsid w:val="00192E14"/>
    <w:rsid w:val="001930F1"/>
    <w:rsid w:val="00193F8D"/>
    <w:rsid w:val="0019401A"/>
    <w:rsid w:val="00194205"/>
    <w:rsid w:val="00194762"/>
    <w:rsid w:val="00194FFA"/>
    <w:rsid w:val="00195BF0"/>
    <w:rsid w:val="001960A4"/>
    <w:rsid w:val="00197252"/>
    <w:rsid w:val="00197CC1"/>
    <w:rsid w:val="00197F45"/>
    <w:rsid w:val="001A110F"/>
    <w:rsid w:val="001A2B63"/>
    <w:rsid w:val="001A3D2D"/>
    <w:rsid w:val="001A4658"/>
    <w:rsid w:val="001A4D0A"/>
    <w:rsid w:val="001A6DDF"/>
    <w:rsid w:val="001A786D"/>
    <w:rsid w:val="001B0493"/>
    <w:rsid w:val="001B09D6"/>
    <w:rsid w:val="001B2C8D"/>
    <w:rsid w:val="001B3416"/>
    <w:rsid w:val="001B4C60"/>
    <w:rsid w:val="001B52D2"/>
    <w:rsid w:val="001B58BF"/>
    <w:rsid w:val="001B59F5"/>
    <w:rsid w:val="001B7315"/>
    <w:rsid w:val="001B7AF2"/>
    <w:rsid w:val="001C0F64"/>
    <w:rsid w:val="001C2E48"/>
    <w:rsid w:val="001C4832"/>
    <w:rsid w:val="001C4A7A"/>
    <w:rsid w:val="001C4AF6"/>
    <w:rsid w:val="001C5230"/>
    <w:rsid w:val="001C5373"/>
    <w:rsid w:val="001C5FC6"/>
    <w:rsid w:val="001C7925"/>
    <w:rsid w:val="001C7D74"/>
    <w:rsid w:val="001D0126"/>
    <w:rsid w:val="001D0788"/>
    <w:rsid w:val="001D0873"/>
    <w:rsid w:val="001D250B"/>
    <w:rsid w:val="001D47E0"/>
    <w:rsid w:val="001D693F"/>
    <w:rsid w:val="001D699F"/>
    <w:rsid w:val="001D6DE1"/>
    <w:rsid w:val="001D705A"/>
    <w:rsid w:val="001D7D2F"/>
    <w:rsid w:val="001D7D42"/>
    <w:rsid w:val="001D7F7D"/>
    <w:rsid w:val="001E09DA"/>
    <w:rsid w:val="001E0ADC"/>
    <w:rsid w:val="001E140A"/>
    <w:rsid w:val="001E2908"/>
    <w:rsid w:val="001E3699"/>
    <w:rsid w:val="001E40A6"/>
    <w:rsid w:val="001E5AD0"/>
    <w:rsid w:val="001E5BAB"/>
    <w:rsid w:val="001E5F18"/>
    <w:rsid w:val="001E65A5"/>
    <w:rsid w:val="001E67D0"/>
    <w:rsid w:val="001E7935"/>
    <w:rsid w:val="001E7FE6"/>
    <w:rsid w:val="001F02C0"/>
    <w:rsid w:val="001F0652"/>
    <w:rsid w:val="001F15F5"/>
    <w:rsid w:val="001F44E8"/>
    <w:rsid w:val="001F4D3B"/>
    <w:rsid w:val="001F5F96"/>
    <w:rsid w:val="001F6010"/>
    <w:rsid w:val="001F6882"/>
    <w:rsid w:val="001F6B69"/>
    <w:rsid w:val="001F6BBC"/>
    <w:rsid w:val="001F7362"/>
    <w:rsid w:val="001F78C1"/>
    <w:rsid w:val="0020037D"/>
    <w:rsid w:val="002012C2"/>
    <w:rsid w:val="00201516"/>
    <w:rsid w:val="002020C9"/>
    <w:rsid w:val="00202508"/>
    <w:rsid w:val="00202A48"/>
    <w:rsid w:val="00203087"/>
    <w:rsid w:val="0020317C"/>
    <w:rsid w:val="00203A81"/>
    <w:rsid w:val="00204A81"/>
    <w:rsid w:val="00204FB5"/>
    <w:rsid w:val="0020739D"/>
    <w:rsid w:val="00207E99"/>
    <w:rsid w:val="00210E15"/>
    <w:rsid w:val="0021288C"/>
    <w:rsid w:val="00212EF0"/>
    <w:rsid w:val="002137CE"/>
    <w:rsid w:val="00214851"/>
    <w:rsid w:val="00216159"/>
    <w:rsid w:val="0021710A"/>
    <w:rsid w:val="0022009E"/>
    <w:rsid w:val="00220484"/>
    <w:rsid w:val="00220D14"/>
    <w:rsid w:val="00222584"/>
    <w:rsid w:val="00223142"/>
    <w:rsid w:val="00224437"/>
    <w:rsid w:val="0022445E"/>
    <w:rsid w:val="00224575"/>
    <w:rsid w:val="00224E0F"/>
    <w:rsid w:val="002257B3"/>
    <w:rsid w:val="002259B2"/>
    <w:rsid w:val="0022785D"/>
    <w:rsid w:val="00230415"/>
    <w:rsid w:val="002306E2"/>
    <w:rsid w:val="00230A83"/>
    <w:rsid w:val="00230C80"/>
    <w:rsid w:val="00231326"/>
    <w:rsid w:val="00231910"/>
    <w:rsid w:val="00231D09"/>
    <w:rsid w:val="002325EB"/>
    <w:rsid w:val="00232683"/>
    <w:rsid w:val="00233E7D"/>
    <w:rsid w:val="00233FA3"/>
    <w:rsid w:val="002343A8"/>
    <w:rsid w:val="002344E9"/>
    <w:rsid w:val="00235AE0"/>
    <w:rsid w:val="00235DEA"/>
    <w:rsid w:val="00236A2D"/>
    <w:rsid w:val="00237580"/>
    <w:rsid w:val="00240B66"/>
    <w:rsid w:val="00241E8A"/>
    <w:rsid w:val="00243714"/>
    <w:rsid w:val="00244448"/>
    <w:rsid w:val="00244651"/>
    <w:rsid w:val="00244A87"/>
    <w:rsid w:val="00245A3B"/>
    <w:rsid w:val="002464A0"/>
    <w:rsid w:val="00246975"/>
    <w:rsid w:val="00246D4D"/>
    <w:rsid w:val="00250311"/>
    <w:rsid w:val="0025057D"/>
    <w:rsid w:val="002512BD"/>
    <w:rsid w:val="00251B0E"/>
    <w:rsid w:val="00251D47"/>
    <w:rsid w:val="002520B9"/>
    <w:rsid w:val="0025248C"/>
    <w:rsid w:val="00253F1D"/>
    <w:rsid w:val="0025451F"/>
    <w:rsid w:val="0025481E"/>
    <w:rsid w:val="002549BC"/>
    <w:rsid w:val="0025540D"/>
    <w:rsid w:val="00255928"/>
    <w:rsid w:val="00256205"/>
    <w:rsid w:val="0025627B"/>
    <w:rsid w:val="00260D36"/>
    <w:rsid w:val="0026134E"/>
    <w:rsid w:val="00262133"/>
    <w:rsid w:val="002634FA"/>
    <w:rsid w:val="0026358B"/>
    <w:rsid w:val="00263923"/>
    <w:rsid w:val="0026401A"/>
    <w:rsid w:val="00264B52"/>
    <w:rsid w:val="00266622"/>
    <w:rsid w:val="00267095"/>
    <w:rsid w:val="002679B5"/>
    <w:rsid w:val="00267B1B"/>
    <w:rsid w:val="00267CDF"/>
    <w:rsid w:val="002719AE"/>
    <w:rsid w:val="002724BD"/>
    <w:rsid w:val="0027385C"/>
    <w:rsid w:val="002739A3"/>
    <w:rsid w:val="00273D32"/>
    <w:rsid w:val="00274868"/>
    <w:rsid w:val="00274F68"/>
    <w:rsid w:val="002750BE"/>
    <w:rsid w:val="00275D12"/>
    <w:rsid w:val="00280406"/>
    <w:rsid w:val="0028054A"/>
    <w:rsid w:val="0028087D"/>
    <w:rsid w:val="002809BF"/>
    <w:rsid w:val="0028159F"/>
    <w:rsid w:val="00281CC9"/>
    <w:rsid w:val="00281F74"/>
    <w:rsid w:val="0028201E"/>
    <w:rsid w:val="00282A6C"/>
    <w:rsid w:val="00282E0E"/>
    <w:rsid w:val="00283969"/>
    <w:rsid w:val="00283EF9"/>
    <w:rsid w:val="002844CD"/>
    <w:rsid w:val="002846F4"/>
    <w:rsid w:val="00285D79"/>
    <w:rsid w:val="00286530"/>
    <w:rsid w:val="00286B24"/>
    <w:rsid w:val="00287B9A"/>
    <w:rsid w:val="00291CA5"/>
    <w:rsid w:val="00292623"/>
    <w:rsid w:val="00292CDD"/>
    <w:rsid w:val="00293DE8"/>
    <w:rsid w:val="002A01E9"/>
    <w:rsid w:val="002A0477"/>
    <w:rsid w:val="002A45DF"/>
    <w:rsid w:val="002A5060"/>
    <w:rsid w:val="002A57DB"/>
    <w:rsid w:val="002A59A6"/>
    <w:rsid w:val="002A5BC8"/>
    <w:rsid w:val="002A6606"/>
    <w:rsid w:val="002A7CC6"/>
    <w:rsid w:val="002B0A5C"/>
    <w:rsid w:val="002B0A88"/>
    <w:rsid w:val="002B1C1A"/>
    <w:rsid w:val="002B22D9"/>
    <w:rsid w:val="002B2BD3"/>
    <w:rsid w:val="002B4856"/>
    <w:rsid w:val="002B4B8C"/>
    <w:rsid w:val="002B4E28"/>
    <w:rsid w:val="002B4E80"/>
    <w:rsid w:val="002B5639"/>
    <w:rsid w:val="002B56A1"/>
    <w:rsid w:val="002B5826"/>
    <w:rsid w:val="002B5A52"/>
    <w:rsid w:val="002B5E1E"/>
    <w:rsid w:val="002B6014"/>
    <w:rsid w:val="002B7154"/>
    <w:rsid w:val="002C058C"/>
    <w:rsid w:val="002C0945"/>
    <w:rsid w:val="002C0A8F"/>
    <w:rsid w:val="002C189E"/>
    <w:rsid w:val="002C26AF"/>
    <w:rsid w:val="002C3781"/>
    <w:rsid w:val="002C3867"/>
    <w:rsid w:val="002C3AE4"/>
    <w:rsid w:val="002C3B73"/>
    <w:rsid w:val="002C3E09"/>
    <w:rsid w:val="002C4A15"/>
    <w:rsid w:val="002C4E19"/>
    <w:rsid w:val="002C5D62"/>
    <w:rsid w:val="002C78F2"/>
    <w:rsid w:val="002D210C"/>
    <w:rsid w:val="002D30D2"/>
    <w:rsid w:val="002D32E5"/>
    <w:rsid w:val="002D4160"/>
    <w:rsid w:val="002D4672"/>
    <w:rsid w:val="002D4DA8"/>
    <w:rsid w:val="002D58FF"/>
    <w:rsid w:val="002D5EEF"/>
    <w:rsid w:val="002D6663"/>
    <w:rsid w:val="002D667D"/>
    <w:rsid w:val="002D765F"/>
    <w:rsid w:val="002E1949"/>
    <w:rsid w:val="002E1B0A"/>
    <w:rsid w:val="002E1C0E"/>
    <w:rsid w:val="002E26B2"/>
    <w:rsid w:val="002E2983"/>
    <w:rsid w:val="002E3618"/>
    <w:rsid w:val="002E389E"/>
    <w:rsid w:val="002E3AB1"/>
    <w:rsid w:val="002E40F1"/>
    <w:rsid w:val="002E44C8"/>
    <w:rsid w:val="002E5185"/>
    <w:rsid w:val="002E5467"/>
    <w:rsid w:val="002E5F03"/>
    <w:rsid w:val="002E7394"/>
    <w:rsid w:val="002E7CE5"/>
    <w:rsid w:val="002F01F8"/>
    <w:rsid w:val="002F01FB"/>
    <w:rsid w:val="002F140A"/>
    <w:rsid w:val="002F14A7"/>
    <w:rsid w:val="002F1BE1"/>
    <w:rsid w:val="002F27F1"/>
    <w:rsid w:val="002F2C8D"/>
    <w:rsid w:val="002F3FF1"/>
    <w:rsid w:val="002F4153"/>
    <w:rsid w:val="002F49E1"/>
    <w:rsid w:val="002F49FD"/>
    <w:rsid w:val="002F4A0A"/>
    <w:rsid w:val="002F4A48"/>
    <w:rsid w:val="002F4F27"/>
    <w:rsid w:val="00300596"/>
    <w:rsid w:val="00300E07"/>
    <w:rsid w:val="00301209"/>
    <w:rsid w:val="003012C6"/>
    <w:rsid w:val="00302AA4"/>
    <w:rsid w:val="0030340A"/>
    <w:rsid w:val="00304563"/>
    <w:rsid w:val="003060BF"/>
    <w:rsid w:val="003069B4"/>
    <w:rsid w:val="00306DE6"/>
    <w:rsid w:val="00310197"/>
    <w:rsid w:val="0031086B"/>
    <w:rsid w:val="003108EA"/>
    <w:rsid w:val="00310F6A"/>
    <w:rsid w:val="00311018"/>
    <w:rsid w:val="00311833"/>
    <w:rsid w:val="003120E2"/>
    <w:rsid w:val="0031343B"/>
    <w:rsid w:val="003138FF"/>
    <w:rsid w:val="00313DE3"/>
    <w:rsid w:val="00320618"/>
    <w:rsid w:val="003206BE"/>
    <w:rsid w:val="00320CE2"/>
    <w:rsid w:val="00320FCC"/>
    <w:rsid w:val="003212A9"/>
    <w:rsid w:val="003217FC"/>
    <w:rsid w:val="00321A08"/>
    <w:rsid w:val="00321B55"/>
    <w:rsid w:val="00321B63"/>
    <w:rsid w:val="00323362"/>
    <w:rsid w:val="00325449"/>
    <w:rsid w:val="00326FC4"/>
    <w:rsid w:val="003271CB"/>
    <w:rsid w:val="00331949"/>
    <w:rsid w:val="00331D79"/>
    <w:rsid w:val="00331F47"/>
    <w:rsid w:val="00332013"/>
    <w:rsid w:val="00332C92"/>
    <w:rsid w:val="003333F9"/>
    <w:rsid w:val="0033579B"/>
    <w:rsid w:val="003359BB"/>
    <w:rsid w:val="003360B2"/>
    <w:rsid w:val="0033653F"/>
    <w:rsid w:val="00336CB4"/>
    <w:rsid w:val="00337577"/>
    <w:rsid w:val="00340360"/>
    <w:rsid w:val="003427A8"/>
    <w:rsid w:val="003429D8"/>
    <w:rsid w:val="00343567"/>
    <w:rsid w:val="00345C1D"/>
    <w:rsid w:val="00345D14"/>
    <w:rsid w:val="00346841"/>
    <w:rsid w:val="00346DD6"/>
    <w:rsid w:val="00347747"/>
    <w:rsid w:val="00350338"/>
    <w:rsid w:val="00351727"/>
    <w:rsid w:val="00351C2A"/>
    <w:rsid w:val="00352704"/>
    <w:rsid w:val="00353071"/>
    <w:rsid w:val="00354551"/>
    <w:rsid w:val="00354E21"/>
    <w:rsid w:val="00354EDA"/>
    <w:rsid w:val="00356BE2"/>
    <w:rsid w:val="00356E6F"/>
    <w:rsid w:val="00357DAD"/>
    <w:rsid w:val="0036010C"/>
    <w:rsid w:val="00360553"/>
    <w:rsid w:val="003610F0"/>
    <w:rsid w:val="00361784"/>
    <w:rsid w:val="00361C41"/>
    <w:rsid w:val="00362676"/>
    <w:rsid w:val="003626E0"/>
    <w:rsid w:val="0036496B"/>
    <w:rsid w:val="0036561C"/>
    <w:rsid w:val="00367D59"/>
    <w:rsid w:val="00371B00"/>
    <w:rsid w:val="003724F1"/>
    <w:rsid w:val="00373330"/>
    <w:rsid w:val="00373508"/>
    <w:rsid w:val="00373BA8"/>
    <w:rsid w:val="00373D48"/>
    <w:rsid w:val="00373F63"/>
    <w:rsid w:val="0037480A"/>
    <w:rsid w:val="00375121"/>
    <w:rsid w:val="0037527F"/>
    <w:rsid w:val="00376583"/>
    <w:rsid w:val="003766F7"/>
    <w:rsid w:val="003772FC"/>
    <w:rsid w:val="00377690"/>
    <w:rsid w:val="00377F17"/>
    <w:rsid w:val="0038259B"/>
    <w:rsid w:val="00382710"/>
    <w:rsid w:val="00382A4E"/>
    <w:rsid w:val="00383109"/>
    <w:rsid w:val="003834F3"/>
    <w:rsid w:val="003837D9"/>
    <w:rsid w:val="003849E9"/>
    <w:rsid w:val="00384B75"/>
    <w:rsid w:val="00384CBC"/>
    <w:rsid w:val="0038582A"/>
    <w:rsid w:val="00386F3A"/>
    <w:rsid w:val="003874AD"/>
    <w:rsid w:val="003875A8"/>
    <w:rsid w:val="00387C73"/>
    <w:rsid w:val="00391339"/>
    <w:rsid w:val="00392825"/>
    <w:rsid w:val="003928A6"/>
    <w:rsid w:val="003929A5"/>
    <w:rsid w:val="003943C5"/>
    <w:rsid w:val="00395556"/>
    <w:rsid w:val="00396A94"/>
    <w:rsid w:val="00397417"/>
    <w:rsid w:val="00397728"/>
    <w:rsid w:val="00397A65"/>
    <w:rsid w:val="003A015A"/>
    <w:rsid w:val="003A14B6"/>
    <w:rsid w:val="003A2856"/>
    <w:rsid w:val="003A3712"/>
    <w:rsid w:val="003A4614"/>
    <w:rsid w:val="003A473B"/>
    <w:rsid w:val="003A4BF9"/>
    <w:rsid w:val="003A5BED"/>
    <w:rsid w:val="003A637B"/>
    <w:rsid w:val="003A642F"/>
    <w:rsid w:val="003A7159"/>
    <w:rsid w:val="003A751A"/>
    <w:rsid w:val="003A76D4"/>
    <w:rsid w:val="003A7790"/>
    <w:rsid w:val="003B0F2B"/>
    <w:rsid w:val="003B1801"/>
    <w:rsid w:val="003B1A30"/>
    <w:rsid w:val="003B21DB"/>
    <w:rsid w:val="003B2B37"/>
    <w:rsid w:val="003B3839"/>
    <w:rsid w:val="003B430D"/>
    <w:rsid w:val="003B4960"/>
    <w:rsid w:val="003B5017"/>
    <w:rsid w:val="003B5E41"/>
    <w:rsid w:val="003B6CD5"/>
    <w:rsid w:val="003B6EB3"/>
    <w:rsid w:val="003B77F5"/>
    <w:rsid w:val="003C1215"/>
    <w:rsid w:val="003C1269"/>
    <w:rsid w:val="003C1FEC"/>
    <w:rsid w:val="003C2886"/>
    <w:rsid w:val="003C3928"/>
    <w:rsid w:val="003C3F9E"/>
    <w:rsid w:val="003C415A"/>
    <w:rsid w:val="003C4525"/>
    <w:rsid w:val="003C4F17"/>
    <w:rsid w:val="003C5044"/>
    <w:rsid w:val="003C5E97"/>
    <w:rsid w:val="003C688A"/>
    <w:rsid w:val="003C7BB5"/>
    <w:rsid w:val="003D1290"/>
    <w:rsid w:val="003D2734"/>
    <w:rsid w:val="003D297C"/>
    <w:rsid w:val="003D2AC4"/>
    <w:rsid w:val="003D2CF3"/>
    <w:rsid w:val="003D4130"/>
    <w:rsid w:val="003D4477"/>
    <w:rsid w:val="003D4DEF"/>
    <w:rsid w:val="003D5212"/>
    <w:rsid w:val="003D551A"/>
    <w:rsid w:val="003D5887"/>
    <w:rsid w:val="003D69D3"/>
    <w:rsid w:val="003D6F9E"/>
    <w:rsid w:val="003D70D5"/>
    <w:rsid w:val="003D7218"/>
    <w:rsid w:val="003E0226"/>
    <w:rsid w:val="003E2890"/>
    <w:rsid w:val="003E2936"/>
    <w:rsid w:val="003E3158"/>
    <w:rsid w:val="003E4386"/>
    <w:rsid w:val="003E450C"/>
    <w:rsid w:val="003E4AB9"/>
    <w:rsid w:val="003E4C8A"/>
    <w:rsid w:val="003E5C96"/>
    <w:rsid w:val="003E61B8"/>
    <w:rsid w:val="003E63F1"/>
    <w:rsid w:val="003E70BF"/>
    <w:rsid w:val="003E779A"/>
    <w:rsid w:val="003E79F1"/>
    <w:rsid w:val="003F117A"/>
    <w:rsid w:val="003F142B"/>
    <w:rsid w:val="003F2928"/>
    <w:rsid w:val="003F3A31"/>
    <w:rsid w:val="003F4BBB"/>
    <w:rsid w:val="003F6343"/>
    <w:rsid w:val="003F66B1"/>
    <w:rsid w:val="003F6858"/>
    <w:rsid w:val="003F70E7"/>
    <w:rsid w:val="003F776E"/>
    <w:rsid w:val="00401BF7"/>
    <w:rsid w:val="00401F48"/>
    <w:rsid w:val="00402407"/>
    <w:rsid w:val="0040295C"/>
    <w:rsid w:val="00403D80"/>
    <w:rsid w:val="00403F33"/>
    <w:rsid w:val="00404B35"/>
    <w:rsid w:val="00406880"/>
    <w:rsid w:val="00406B35"/>
    <w:rsid w:val="00406E3E"/>
    <w:rsid w:val="004077F7"/>
    <w:rsid w:val="00410CCD"/>
    <w:rsid w:val="00410CED"/>
    <w:rsid w:val="00411CDA"/>
    <w:rsid w:val="004127FA"/>
    <w:rsid w:val="004129A9"/>
    <w:rsid w:val="00413092"/>
    <w:rsid w:val="00413BF3"/>
    <w:rsid w:val="004146DD"/>
    <w:rsid w:val="00415680"/>
    <w:rsid w:val="004158F6"/>
    <w:rsid w:val="00415942"/>
    <w:rsid w:val="00416367"/>
    <w:rsid w:val="00416CA9"/>
    <w:rsid w:val="004171A3"/>
    <w:rsid w:val="00417AFF"/>
    <w:rsid w:val="00420935"/>
    <w:rsid w:val="00420E0D"/>
    <w:rsid w:val="0042136F"/>
    <w:rsid w:val="00421C17"/>
    <w:rsid w:val="00422414"/>
    <w:rsid w:val="00423250"/>
    <w:rsid w:val="00423B5B"/>
    <w:rsid w:val="00423DEF"/>
    <w:rsid w:val="00424894"/>
    <w:rsid w:val="00424984"/>
    <w:rsid w:val="00424F57"/>
    <w:rsid w:val="00426175"/>
    <w:rsid w:val="0042640E"/>
    <w:rsid w:val="0042679F"/>
    <w:rsid w:val="004276A0"/>
    <w:rsid w:val="004302D2"/>
    <w:rsid w:val="00430475"/>
    <w:rsid w:val="004305D4"/>
    <w:rsid w:val="00430A55"/>
    <w:rsid w:val="00431452"/>
    <w:rsid w:val="004314ED"/>
    <w:rsid w:val="00431FD9"/>
    <w:rsid w:val="00432627"/>
    <w:rsid w:val="004329F2"/>
    <w:rsid w:val="00433AAF"/>
    <w:rsid w:val="00433B10"/>
    <w:rsid w:val="0043427D"/>
    <w:rsid w:val="00434BA4"/>
    <w:rsid w:val="004359EF"/>
    <w:rsid w:val="00437194"/>
    <w:rsid w:val="004378BD"/>
    <w:rsid w:val="00437BCE"/>
    <w:rsid w:val="00441350"/>
    <w:rsid w:val="004421CE"/>
    <w:rsid w:val="004424F6"/>
    <w:rsid w:val="00442E91"/>
    <w:rsid w:val="00443966"/>
    <w:rsid w:val="00444C43"/>
    <w:rsid w:val="00444F70"/>
    <w:rsid w:val="004467EC"/>
    <w:rsid w:val="004467EE"/>
    <w:rsid w:val="00447A1A"/>
    <w:rsid w:val="00450163"/>
    <w:rsid w:val="004507FC"/>
    <w:rsid w:val="00451EF5"/>
    <w:rsid w:val="0045228A"/>
    <w:rsid w:val="00453961"/>
    <w:rsid w:val="004557C1"/>
    <w:rsid w:val="00456298"/>
    <w:rsid w:val="00457F51"/>
    <w:rsid w:val="0046035B"/>
    <w:rsid w:val="004632DF"/>
    <w:rsid w:val="004641EA"/>
    <w:rsid w:val="0046471A"/>
    <w:rsid w:val="00464776"/>
    <w:rsid w:val="00467A77"/>
    <w:rsid w:val="00467D18"/>
    <w:rsid w:val="004700DC"/>
    <w:rsid w:val="004707B3"/>
    <w:rsid w:val="0047085D"/>
    <w:rsid w:val="004726B9"/>
    <w:rsid w:val="00472A4D"/>
    <w:rsid w:val="00472BEF"/>
    <w:rsid w:val="004734BB"/>
    <w:rsid w:val="00473E70"/>
    <w:rsid w:val="00474218"/>
    <w:rsid w:val="004743C9"/>
    <w:rsid w:val="00474E05"/>
    <w:rsid w:val="004757A6"/>
    <w:rsid w:val="00477351"/>
    <w:rsid w:val="00477922"/>
    <w:rsid w:val="00477C2E"/>
    <w:rsid w:val="004805DE"/>
    <w:rsid w:val="0048100F"/>
    <w:rsid w:val="004812B1"/>
    <w:rsid w:val="00481E04"/>
    <w:rsid w:val="004826B5"/>
    <w:rsid w:val="00482D0E"/>
    <w:rsid w:val="00484CAC"/>
    <w:rsid w:val="00485120"/>
    <w:rsid w:val="004851E2"/>
    <w:rsid w:val="004853B3"/>
    <w:rsid w:val="00485BA9"/>
    <w:rsid w:val="0048642D"/>
    <w:rsid w:val="00486D1B"/>
    <w:rsid w:val="00486EEC"/>
    <w:rsid w:val="00487082"/>
    <w:rsid w:val="00487E4F"/>
    <w:rsid w:val="004900F7"/>
    <w:rsid w:val="004908D3"/>
    <w:rsid w:val="0049168A"/>
    <w:rsid w:val="00492A5D"/>
    <w:rsid w:val="00492E81"/>
    <w:rsid w:val="004930B0"/>
    <w:rsid w:val="00493D85"/>
    <w:rsid w:val="004941EA"/>
    <w:rsid w:val="004950F2"/>
    <w:rsid w:val="0049518D"/>
    <w:rsid w:val="00495BE1"/>
    <w:rsid w:val="00495D60"/>
    <w:rsid w:val="004973A6"/>
    <w:rsid w:val="0049764E"/>
    <w:rsid w:val="004A1385"/>
    <w:rsid w:val="004A5B09"/>
    <w:rsid w:val="004A5B35"/>
    <w:rsid w:val="004A5EB4"/>
    <w:rsid w:val="004A6E6D"/>
    <w:rsid w:val="004A73C3"/>
    <w:rsid w:val="004A7998"/>
    <w:rsid w:val="004A79FF"/>
    <w:rsid w:val="004B0360"/>
    <w:rsid w:val="004B05DE"/>
    <w:rsid w:val="004B1BC0"/>
    <w:rsid w:val="004B243C"/>
    <w:rsid w:val="004B38C5"/>
    <w:rsid w:val="004B3B64"/>
    <w:rsid w:val="004B4A11"/>
    <w:rsid w:val="004B50DE"/>
    <w:rsid w:val="004B566F"/>
    <w:rsid w:val="004B5A55"/>
    <w:rsid w:val="004B5AA2"/>
    <w:rsid w:val="004B6152"/>
    <w:rsid w:val="004B6F59"/>
    <w:rsid w:val="004C0D58"/>
    <w:rsid w:val="004C14ED"/>
    <w:rsid w:val="004C155A"/>
    <w:rsid w:val="004C1EB5"/>
    <w:rsid w:val="004C20CD"/>
    <w:rsid w:val="004C2181"/>
    <w:rsid w:val="004C29DC"/>
    <w:rsid w:val="004C3702"/>
    <w:rsid w:val="004C45C7"/>
    <w:rsid w:val="004C49F7"/>
    <w:rsid w:val="004C4AA4"/>
    <w:rsid w:val="004C61DB"/>
    <w:rsid w:val="004C7A66"/>
    <w:rsid w:val="004D0A39"/>
    <w:rsid w:val="004D0FB6"/>
    <w:rsid w:val="004D108D"/>
    <w:rsid w:val="004D3C4A"/>
    <w:rsid w:val="004D47E6"/>
    <w:rsid w:val="004D4998"/>
    <w:rsid w:val="004D4BF6"/>
    <w:rsid w:val="004D4C04"/>
    <w:rsid w:val="004D4EE4"/>
    <w:rsid w:val="004D5303"/>
    <w:rsid w:val="004D5B72"/>
    <w:rsid w:val="004D63B4"/>
    <w:rsid w:val="004D64CA"/>
    <w:rsid w:val="004D67B2"/>
    <w:rsid w:val="004D7367"/>
    <w:rsid w:val="004D7466"/>
    <w:rsid w:val="004D750B"/>
    <w:rsid w:val="004E00CB"/>
    <w:rsid w:val="004E01D9"/>
    <w:rsid w:val="004E0B30"/>
    <w:rsid w:val="004E3044"/>
    <w:rsid w:val="004E3A11"/>
    <w:rsid w:val="004E3F93"/>
    <w:rsid w:val="004E4687"/>
    <w:rsid w:val="004E67B7"/>
    <w:rsid w:val="004E7329"/>
    <w:rsid w:val="004E7638"/>
    <w:rsid w:val="004F0725"/>
    <w:rsid w:val="004F1964"/>
    <w:rsid w:val="004F24FD"/>
    <w:rsid w:val="004F367D"/>
    <w:rsid w:val="004F4404"/>
    <w:rsid w:val="004F45FC"/>
    <w:rsid w:val="004F63CA"/>
    <w:rsid w:val="0050074D"/>
    <w:rsid w:val="00501C71"/>
    <w:rsid w:val="005031B6"/>
    <w:rsid w:val="005036BB"/>
    <w:rsid w:val="005037F5"/>
    <w:rsid w:val="00504188"/>
    <w:rsid w:val="00504CA0"/>
    <w:rsid w:val="005054A1"/>
    <w:rsid w:val="00505766"/>
    <w:rsid w:val="00506C83"/>
    <w:rsid w:val="00506E5B"/>
    <w:rsid w:val="0050751F"/>
    <w:rsid w:val="00510188"/>
    <w:rsid w:val="00510ADE"/>
    <w:rsid w:val="00511ABA"/>
    <w:rsid w:val="00511C7F"/>
    <w:rsid w:val="00511D16"/>
    <w:rsid w:val="005148EC"/>
    <w:rsid w:val="00515078"/>
    <w:rsid w:val="005150AF"/>
    <w:rsid w:val="00516915"/>
    <w:rsid w:val="00516A1F"/>
    <w:rsid w:val="00517451"/>
    <w:rsid w:val="00517759"/>
    <w:rsid w:val="005201D8"/>
    <w:rsid w:val="00520854"/>
    <w:rsid w:val="00520A76"/>
    <w:rsid w:val="00520BAB"/>
    <w:rsid w:val="00521380"/>
    <w:rsid w:val="005215D1"/>
    <w:rsid w:val="00521E6C"/>
    <w:rsid w:val="005230DC"/>
    <w:rsid w:val="00523923"/>
    <w:rsid w:val="00523C02"/>
    <w:rsid w:val="00523C8B"/>
    <w:rsid w:val="005240BA"/>
    <w:rsid w:val="00524456"/>
    <w:rsid w:val="00524644"/>
    <w:rsid w:val="005249F8"/>
    <w:rsid w:val="00524BA4"/>
    <w:rsid w:val="005250AA"/>
    <w:rsid w:val="00526082"/>
    <w:rsid w:val="0052608E"/>
    <w:rsid w:val="00526476"/>
    <w:rsid w:val="005269F3"/>
    <w:rsid w:val="00526BA7"/>
    <w:rsid w:val="00526EF0"/>
    <w:rsid w:val="005274FD"/>
    <w:rsid w:val="005301A0"/>
    <w:rsid w:val="00530BCD"/>
    <w:rsid w:val="005314B9"/>
    <w:rsid w:val="00531F30"/>
    <w:rsid w:val="00531FF2"/>
    <w:rsid w:val="00533AE8"/>
    <w:rsid w:val="00534CF6"/>
    <w:rsid w:val="0053568C"/>
    <w:rsid w:val="0053593A"/>
    <w:rsid w:val="00537730"/>
    <w:rsid w:val="005401F3"/>
    <w:rsid w:val="00541F02"/>
    <w:rsid w:val="0054204A"/>
    <w:rsid w:val="005434CF"/>
    <w:rsid w:val="00543FB1"/>
    <w:rsid w:val="00546007"/>
    <w:rsid w:val="00546FB8"/>
    <w:rsid w:val="005472A7"/>
    <w:rsid w:val="005475C8"/>
    <w:rsid w:val="00547B30"/>
    <w:rsid w:val="00550273"/>
    <w:rsid w:val="005507A8"/>
    <w:rsid w:val="005513CF"/>
    <w:rsid w:val="00551D4C"/>
    <w:rsid w:val="00552255"/>
    <w:rsid w:val="00552526"/>
    <w:rsid w:val="0055278B"/>
    <w:rsid w:val="00553CC9"/>
    <w:rsid w:val="00553CF4"/>
    <w:rsid w:val="0055474C"/>
    <w:rsid w:val="00554D1B"/>
    <w:rsid w:val="005553F4"/>
    <w:rsid w:val="0055646B"/>
    <w:rsid w:val="00556FEB"/>
    <w:rsid w:val="0055752D"/>
    <w:rsid w:val="005607A4"/>
    <w:rsid w:val="005611EE"/>
    <w:rsid w:val="00561591"/>
    <w:rsid w:val="00562892"/>
    <w:rsid w:val="00563439"/>
    <w:rsid w:val="00563E7E"/>
    <w:rsid w:val="005648BF"/>
    <w:rsid w:val="00564B0F"/>
    <w:rsid w:val="00565C58"/>
    <w:rsid w:val="0056614A"/>
    <w:rsid w:val="00566520"/>
    <w:rsid w:val="00566776"/>
    <w:rsid w:val="0056728D"/>
    <w:rsid w:val="00567337"/>
    <w:rsid w:val="005676BB"/>
    <w:rsid w:val="00567BEE"/>
    <w:rsid w:val="00567D85"/>
    <w:rsid w:val="00570333"/>
    <w:rsid w:val="00570E31"/>
    <w:rsid w:val="00571820"/>
    <w:rsid w:val="005728AD"/>
    <w:rsid w:val="00574010"/>
    <w:rsid w:val="005748EB"/>
    <w:rsid w:val="00574B7D"/>
    <w:rsid w:val="00575A7C"/>
    <w:rsid w:val="00577BA3"/>
    <w:rsid w:val="00582BC7"/>
    <w:rsid w:val="005830BE"/>
    <w:rsid w:val="0058346C"/>
    <w:rsid w:val="00584332"/>
    <w:rsid w:val="005846A8"/>
    <w:rsid w:val="00584AA4"/>
    <w:rsid w:val="00585793"/>
    <w:rsid w:val="00586FE2"/>
    <w:rsid w:val="005878B3"/>
    <w:rsid w:val="005905B9"/>
    <w:rsid w:val="005905F8"/>
    <w:rsid w:val="00590A76"/>
    <w:rsid w:val="00590A98"/>
    <w:rsid w:val="0059127A"/>
    <w:rsid w:val="0059163F"/>
    <w:rsid w:val="005924C0"/>
    <w:rsid w:val="0059334A"/>
    <w:rsid w:val="005936BF"/>
    <w:rsid w:val="005941AA"/>
    <w:rsid w:val="00594442"/>
    <w:rsid w:val="0059621F"/>
    <w:rsid w:val="00597D7A"/>
    <w:rsid w:val="005A0239"/>
    <w:rsid w:val="005A0B11"/>
    <w:rsid w:val="005A2760"/>
    <w:rsid w:val="005A2F79"/>
    <w:rsid w:val="005A34B7"/>
    <w:rsid w:val="005A5FDA"/>
    <w:rsid w:val="005A6879"/>
    <w:rsid w:val="005B07FB"/>
    <w:rsid w:val="005B124A"/>
    <w:rsid w:val="005B1290"/>
    <w:rsid w:val="005B173E"/>
    <w:rsid w:val="005B2438"/>
    <w:rsid w:val="005B290B"/>
    <w:rsid w:val="005B2A02"/>
    <w:rsid w:val="005B35FB"/>
    <w:rsid w:val="005B4987"/>
    <w:rsid w:val="005B49A8"/>
    <w:rsid w:val="005B583F"/>
    <w:rsid w:val="005B5F6C"/>
    <w:rsid w:val="005B6D4C"/>
    <w:rsid w:val="005B762D"/>
    <w:rsid w:val="005C04EE"/>
    <w:rsid w:val="005C18BA"/>
    <w:rsid w:val="005C28C7"/>
    <w:rsid w:val="005C42CB"/>
    <w:rsid w:val="005C436B"/>
    <w:rsid w:val="005C619B"/>
    <w:rsid w:val="005C75B0"/>
    <w:rsid w:val="005D1396"/>
    <w:rsid w:val="005D1B25"/>
    <w:rsid w:val="005D2742"/>
    <w:rsid w:val="005D29F3"/>
    <w:rsid w:val="005D33B7"/>
    <w:rsid w:val="005D3AA2"/>
    <w:rsid w:val="005D4CAD"/>
    <w:rsid w:val="005D55B2"/>
    <w:rsid w:val="005E2A10"/>
    <w:rsid w:val="005E3054"/>
    <w:rsid w:val="005E5E19"/>
    <w:rsid w:val="005E69C8"/>
    <w:rsid w:val="005E7D8D"/>
    <w:rsid w:val="005E7F17"/>
    <w:rsid w:val="005F1051"/>
    <w:rsid w:val="005F1B71"/>
    <w:rsid w:val="005F2F93"/>
    <w:rsid w:val="005F485E"/>
    <w:rsid w:val="005F4CED"/>
    <w:rsid w:val="005F5B37"/>
    <w:rsid w:val="005F5D05"/>
    <w:rsid w:val="005F6468"/>
    <w:rsid w:val="00600CFA"/>
    <w:rsid w:val="00601FA1"/>
    <w:rsid w:val="00603CDE"/>
    <w:rsid w:val="006040B4"/>
    <w:rsid w:val="006041FD"/>
    <w:rsid w:val="0060488B"/>
    <w:rsid w:val="0060625A"/>
    <w:rsid w:val="00606E5C"/>
    <w:rsid w:val="00610550"/>
    <w:rsid w:val="006107D1"/>
    <w:rsid w:val="00612B47"/>
    <w:rsid w:val="00612EAA"/>
    <w:rsid w:val="0061619D"/>
    <w:rsid w:val="006161D0"/>
    <w:rsid w:val="006164DC"/>
    <w:rsid w:val="0061692C"/>
    <w:rsid w:val="00616E12"/>
    <w:rsid w:val="00616E60"/>
    <w:rsid w:val="0061725B"/>
    <w:rsid w:val="00617CAC"/>
    <w:rsid w:val="00617EA0"/>
    <w:rsid w:val="00622741"/>
    <w:rsid w:val="006232D0"/>
    <w:rsid w:val="00623BFC"/>
    <w:rsid w:val="00623CF0"/>
    <w:rsid w:val="006257B0"/>
    <w:rsid w:val="006258EB"/>
    <w:rsid w:val="00631DFA"/>
    <w:rsid w:val="00632094"/>
    <w:rsid w:val="006339BD"/>
    <w:rsid w:val="00634B02"/>
    <w:rsid w:val="00634B53"/>
    <w:rsid w:val="00635F4E"/>
    <w:rsid w:val="00635FD5"/>
    <w:rsid w:val="00636879"/>
    <w:rsid w:val="00636AF2"/>
    <w:rsid w:val="00636B49"/>
    <w:rsid w:val="00640969"/>
    <w:rsid w:val="00640A16"/>
    <w:rsid w:val="00641B2F"/>
    <w:rsid w:val="00642865"/>
    <w:rsid w:val="00643570"/>
    <w:rsid w:val="00643594"/>
    <w:rsid w:val="00643983"/>
    <w:rsid w:val="00644441"/>
    <w:rsid w:val="0064589A"/>
    <w:rsid w:val="00645EAA"/>
    <w:rsid w:val="00646A81"/>
    <w:rsid w:val="00646F87"/>
    <w:rsid w:val="00646FE1"/>
    <w:rsid w:val="00647D0C"/>
    <w:rsid w:val="00647FF8"/>
    <w:rsid w:val="0065071F"/>
    <w:rsid w:val="00650C02"/>
    <w:rsid w:val="00650F71"/>
    <w:rsid w:val="00652CDB"/>
    <w:rsid w:val="00652EE7"/>
    <w:rsid w:val="00654295"/>
    <w:rsid w:val="00654461"/>
    <w:rsid w:val="006549C1"/>
    <w:rsid w:val="00655176"/>
    <w:rsid w:val="00657609"/>
    <w:rsid w:val="006576D3"/>
    <w:rsid w:val="006577C6"/>
    <w:rsid w:val="00657903"/>
    <w:rsid w:val="00657DA2"/>
    <w:rsid w:val="006605C1"/>
    <w:rsid w:val="00660DBB"/>
    <w:rsid w:val="00663A8F"/>
    <w:rsid w:val="00663DCC"/>
    <w:rsid w:val="00663E14"/>
    <w:rsid w:val="00663FFE"/>
    <w:rsid w:val="00664520"/>
    <w:rsid w:val="00664ED1"/>
    <w:rsid w:val="0066504C"/>
    <w:rsid w:val="00665158"/>
    <w:rsid w:val="0067093B"/>
    <w:rsid w:val="00670B10"/>
    <w:rsid w:val="00670C03"/>
    <w:rsid w:val="00670F14"/>
    <w:rsid w:val="006718E4"/>
    <w:rsid w:val="006718F5"/>
    <w:rsid w:val="00671CEC"/>
    <w:rsid w:val="00672609"/>
    <w:rsid w:val="00673416"/>
    <w:rsid w:val="00674125"/>
    <w:rsid w:val="00674A64"/>
    <w:rsid w:val="00675055"/>
    <w:rsid w:val="0067570A"/>
    <w:rsid w:val="00675719"/>
    <w:rsid w:val="00676426"/>
    <w:rsid w:val="00677503"/>
    <w:rsid w:val="00680973"/>
    <w:rsid w:val="006809D4"/>
    <w:rsid w:val="00680C94"/>
    <w:rsid w:val="006831F6"/>
    <w:rsid w:val="00683A04"/>
    <w:rsid w:val="00684221"/>
    <w:rsid w:val="006857C4"/>
    <w:rsid w:val="00685C70"/>
    <w:rsid w:val="006860EF"/>
    <w:rsid w:val="006863F9"/>
    <w:rsid w:val="0068728C"/>
    <w:rsid w:val="0068769A"/>
    <w:rsid w:val="006876A0"/>
    <w:rsid w:val="00687CA6"/>
    <w:rsid w:val="00690236"/>
    <w:rsid w:val="0069029A"/>
    <w:rsid w:val="006909BB"/>
    <w:rsid w:val="00690DDC"/>
    <w:rsid w:val="00691614"/>
    <w:rsid w:val="0069223C"/>
    <w:rsid w:val="0069287D"/>
    <w:rsid w:val="006932AD"/>
    <w:rsid w:val="006935E2"/>
    <w:rsid w:val="00693F2F"/>
    <w:rsid w:val="006947BE"/>
    <w:rsid w:val="00695403"/>
    <w:rsid w:val="006A01BB"/>
    <w:rsid w:val="006A1C60"/>
    <w:rsid w:val="006A1C6F"/>
    <w:rsid w:val="006A25D2"/>
    <w:rsid w:val="006A30B6"/>
    <w:rsid w:val="006A3CEA"/>
    <w:rsid w:val="006A4454"/>
    <w:rsid w:val="006A51EE"/>
    <w:rsid w:val="006A61DB"/>
    <w:rsid w:val="006A6355"/>
    <w:rsid w:val="006A6C62"/>
    <w:rsid w:val="006A739E"/>
    <w:rsid w:val="006A748E"/>
    <w:rsid w:val="006B02F9"/>
    <w:rsid w:val="006B089A"/>
    <w:rsid w:val="006B284F"/>
    <w:rsid w:val="006B351A"/>
    <w:rsid w:val="006B60C2"/>
    <w:rsid w:val="006B7CE6"/>
    <w:rsid w:val="006B7EC7"/>
    <w:rsid w:val="006B7FDD"/>
    <w:rsid w:val="006C05F8"/>
    <w:rsid w:val="006C0FE7"/>
    <w:rsid w:val="006C18AA"/>
    <w:rsid w:val="006C1D63"/>
    <w:rsid w:val="006C38E9"/>
    <w:rsid w:val="006C570E"/>
    <w:rsid w:val="006C5792"/>
    <w:rsid w:val="006C6B81"/>
    <w:rsid w:val="006C793D"/>
    <w:rsid w:val="006C7989"/>
    <w:rsid w:val="006D1483"/>
    <w:rsid w:val="006D1EBF"/>
    <w:rsid w:val="006D2B98"/>
    <w:rsid w:val="006D4096"/>
    <w:rsid w:val="006D4DE2"/>
    <w:rsid w:val="006D50B0"/>
    <w:rsid w:val="006D7247"/>
    <w:rsid w:val="006D7BE7"/>
    <w:rsid w:val="006E0154"/>
    <w:rsid w:val="006E0D3C"/>
    <w:rsid w:val="006E0F37"/>
    <w:rsid w:val="006E36EB"/>
    <w:rsid w:val="006E72DF"/>
    <w:rsid w:val="006E74F8"/>
    <w:rsid w:val="006E76E7"/>
    <w:rsid w:val="006E77A0"/>
    <w:rsid w:val="006E7FC7"/>
    <w:rsid w:val="006F01DB"/>
    <w:rsid w:val="006F070C"/>
    <w:rsid w:val="006F340B"/>
    <w:rsid w:val="006F3B71"/>
    <w:rsid w:val="006F4770"/>
    <w:rsid w:val="006F498B"/>
    <w:rsid w:val="006F4B2E"/>
    <w:rsid w:val="006F4F05"/>
    <w:rsid w:val="006F5563"/>
    <w:rsid w:val="006F5809"/>
    <w:rsid w:val="006F5BC3"/>
    <w:rsid w:val="006F65B1"/>
    <w:rsid w:val="006F6D06"/>
    <w:rsid w:val="006F7194"/>
    <w:rsid w:val="00701DC8"/>
    <w:rsid w:val="00702356"/>
    <w:rsid w:val="007024EA"/>
    <w:rsid w:val="007025BD"/>
    <w:rsid w:val="00702D52"/>
    <w:rsid w:val="00703710"/>
    <w:rsid w:val="00704071"/>
    <w:rsid w:val="007041ED"/>
    <w:rsid w:val="0070455A"/>
    <w:rsid w:val="00704B15"/>
    <w:rsid w:val="00705064"/>
    <w:rsid w:val="0070534B"/>
    <w:rsid w:val="00706725"/>
    <w:rsid w:val="007067DA"/>
    <w:rsid w:val="007079C8"/>
    <w:rsid w:val="00707C3A"/>
    <w:rsid w:val="00707E58"/>
    <w:rsid w:val="007103C1"/>
    <w:rsid w:val="00710C8D"/>
    <w:rsid w:val="0071112D"/>
    <w:rsid w:val="00711DA7"/>
    <w:rsid w:val="00711F63"/>
    <w:rsid w:val="00711F74"/>
    <w:rsid w:val="00711FDE"/>
    <w:rsid w:val="00712508"/>
    <w:rsid w:val="00712AC9"/>
    <w:rsid w:val="007136A9"/>
    <w:rsid w:val="00714A63"/>
    <w:rsid w:val="00716D7A"/>
    <w:rsid w:val="00717428"/>
    <w:rsid w:val="007176A3"/>
    <w:rsid w:val="007177CE"/>
    <w:rsid w:val="00717C10"/>
    <w:rsid w:val="00720035"/>
    <w:rsid w:val="00720759"/>
    <w:rsid w:val="00721189"/>
    <w:rsid w:val="007212B9"/>
    <w:rsid w:val="0072144D"/>
    <w:rsid w:val="00721E08"/>
    <w:rsid w:val="0072229B"/>
    <w:rsid w:val="00723B8B"/>
    <w:rsid w:val="007241B7"/>
    <w:rsid w:val="0072467E"/>
    <w:rsid w:val="00724795"/>
    <w:rsid w:val="0072584E"/>
    <w:rsid w:val="00725D0D"/>
    <w:rsid w:val="00726406"/>
    <w:rsid w:val="00726C37"/>
    <w:rsid w:val="00727151"/>
    <w:rsid w:val="0072790B"/>
    <w:rsid w:val="00727E5E"/>
    <w:rsid w:val="0073088E"/>
    <w:rsid w:val="007322E0"/>
    <w:rsid w:val="007329F2"/>
    <w:rsid w:val="00732BB9"/>
    <w:rsid w:val="00733304"/>
    <w:rsid w:val="00733B40"/>
    <w:rsid w:val="00734886"/>
    <w:rsid w:val="00735105"/>
    <w:rsid w:val="00735AB9"/>
    <w:rsid w:val="00736008"/>
    <w:rsid w:val="007366EA"/>
    <w:rsid w:val="007371EE"/>
    <w:rsid w:val="0073747E"/>
    <w:rsid w:val="00737826"/>
    <w:rsid w:val="00737D09"/>
    <w:rsid w:val="00740C93"/>
    <w:rsid w:val="007447E6"/>
    <w:rsid w:val="0074577F"/>
    <w:rsid w:val="00746174"/>
    <w:rsid w:val="00746338"/>
    <w:rsid w:val="007465FC"/>
    <w:rsid w:val="00750455"/>
    <w:rsid w:val="00751D11"/>
    <w:rsid w:val="007525F7"/>
    <w:rsid w:val="007528B6"/>
    <w:rsid w:val="00753887"/>
    <w:rsid w:val="00753C8E"/>
    <w:rsid w:val="007540EE"/>
    <w:rsid w:val="00755D94"/>
    <w:rsid w:val="00756969"/>
    <w:rsid w:val="00756E48"/>
    <w:rsid w:val="007571CD"/>
    <w:rsid w:val="0075756B"/>
    <w:rsid w:val="00757C3F"/>
    <w:rsid w:val="00760506"/>
    <w:rsid w:val="00764618"/>
    <w:rsid w:val="00764CD8"/>
    <w:rsid w:val="007659BD"/>
    <w:rsid w:val="00765CA5"/>
    <w:rsid w:val="00765D09"/>
    <w:rsid w:val="00766114"/>
    <w:rsid w:val="00766615"/>
    <w:rsid w:val="007669F3"/>
    <w:rsid w:val="00767390"/>
    <w:rsid w:val="00767F25"/>
    <w:rsid w:val="00771FF3"/>
    <w:rsid w:val="007724A4"/>
    <w:rsid w:val="00773246"/>
    <w:rsid w:val="007740BE"/>
    <w:rsid w:val="00775311"/>
    <w:rsid w:val="0077532B"/>
    <w:rsid w:val="00775CDA"/>
    <w:rsid w:val="00777C65"/>
    <w:rsid w:val="00777C97"/>
    <w:rsid w:val="00780271"/>
    <w:rsid w:val="007816CD"/>
    <w:rsid w:val="00782A09"/>
    <w:rsid w:val="00783A83"/>
    <w:rsid w:val="0078434A"/>
    <w:rsid w:val="00784A11"/>
    <w:rsid w:val="007852C3"/>
    <w:rsid w:val="0078560D"/>
    <w:rsid w:val="00785D08"/>
    <w:rsid w:val="00785F65"/>
    <w:rsid w:val="00786023"/>
    <w:rsid w:val="007860BF"/>
    <w:rsid w:val="007863D9"/>
    <w:rsid w:val="00786601"/>
    <w:rsid w:val="00786E7F"/>
    <w:rsid w:val="00787DD6"/>
    <w:rsid w:val="00791788"/>
    <w:rsid w:val="00791C7A"/>
    <w:rsid w:val="00792153"/>
    <w:rsid w:val="0079330B"/>
    <w:rsid w:val="00793FDD"/>
    <w:rsid w:val="00794540"/>
    <w:rsid w:val="00796236"/>
    <w:rsid w:val="007A0227"/>
    <w:rsid w:val="007A0918"/>
    <w:rsid w:val="007A17FF"/>
    <w:rsid w:val="007A2577"/>
    <w:rsid w:val="007A2AEF"/>
    <w:rsid w:val="007A2D1F"/>
    <w:rsid w:val="007A31E9"/>
    <w:rsid w:val="007A4408"/>
    <w:rsid w:val="007A5151"/>
    <w:rsid w:val="007A57EC"/>
    <w:rsid w:val="007A5CBB"/>
    <w:rsid w:val="007A7715"/>
    <w:rsid w:val="007A77D4"/>
    <w:rsid w:val="007A7A83"/>
    <w:rsid w:val="007B1F1B"/>
    <w:rsid w:val="007B272E"/>
    <w:rsid w:val="007B32CE"/>
    <w:rsid w:val="007B3B2C"/>
    <w:rsid w:val="007B4618"/>
    <w:rsid w:val="007B4AB6"/>
    <w:rsid w:val="007B57DF"/>
    <w:rsid w:val="007C05D7"/>
    <w:rsid w:val="007C1CF9"/>
    <w:rsid w:val="007C2396"/>
    <w:rsid w:val="007C3907"/>
    <w:rsid w:val="007C50C6"/>
    <w:rsid w:val="007C54BF"/>
    <w:rsid w:val="007C56DD"/>
    <w:rsid w:val="007C6FA9"/>
    <w:rsid w:val="007C7E2A"/>
    <w:rsid w:val="007D0B1A"/>
    <w:rsid w:val="007D1E17"/>
    <w:rsid w:val="007D20F6"/>
    <w:rsid w:val="007D29B3"/>
    <w:rsid w:val="007D2DA4"/>
    <w:rsid w:val="007D3562"/>
    <w:rsid w:val="007D3E90"/>
    <w:rsid w:val="007D47B0"/>
    <w:rsid w:val="007D4F15"/>
    <w:rsid w:val="007D672F"/>
    <w:rsid w:val="007D67A9"/>
    <w:rsid w:val="007D7A06"/>
    <w:rsid w:val="007E03F7"/>
    <w:rsid w:val="007E0533"/>
    <w:rsid w:val="007E05D1"/>
    <w:rsid w:val="007E0A63"/>
    <w:rsid w:val="007E2EC2"/>
    <w:rsid w:val="007E5DA6"/>
    <w:rsid w:val="007E5FFB"/>
    <w:rsid w:val="007E6A99"/>
    <w:rsid w:val="007E7AB0"/>
    <w:rsid w:val="007F0E36"/>
    <w:rsid w:val="007F13BF"/>
    <w:rsid w:val="007F15CB"/>
    <w:rsid w:val="007F1A85"/>
    <w:rsid w:val="007F273B"/>
    <w:rsid w:val="007F29D5"/>
    <w:rsid w:val="007F324C"/>
    <w:rsid w:val="007F3A9C"/>
    <w:rsid w:val="007F4273"/>
    <w:rsid w:val="007F48D4"/>
    <w:rsid w:val="007F5161"/>
    <w:rsid w:val="007F60AA"/>
    <w:rsid w:val="007F66F8"/>
    <w:rsid w:val="007F6CB6"/>
    <w:rsid w:val="008014BA"/>
    <w:rsid w:val="0080226A"/>
    <w:rsid w:val="00802C02"/>
    <w:rsid w:val="0080307B"/>
    <w:rsid w:val="00806CEF"/>
    <w:rsid w:val="00807242"/>
    <w:rsid w:val="00807944"/>
    <w:rsid w:val="00807EEB"/>
    <w:rsid w:val="00811269"/>
    <w:rsid w:val="00811826"/>
    <w:rsid w:val="00811A8E"/>
    <w:rsid w:val="008129D4"/>
    <w:rsid w:val="00812DBB"/>
    <w:rsid w:val="00813046"/>
    <w:rsid w:val="008134C7"/>
    <w:rsid w:val="008144D2"/>
    <w:rsid w:val="008149BB"/>
    <w:rsid w:val="00814D99"/>
    <w:rsid w:val="00815090"/>
    <w:rsid w:val="008155D2"/>
    <w:rsid w:val="00815AB9"/>
    <w:rsid w:val="00816A88"/>
    <w:rsid w:val="008170BC"/>
    <w:rsid w:val="0081727D"/>
    <w:rsid w:val="008200CD"/>
    <w:rsid w:val="008204F2"/>
    <w:rsid w:val="008208FE"/>
    <w:rsid w:val="00821044"/>
    <w:rsid w:val="00823071"/>
    <w:rsid w:val="008234C2"/>
    <w:rsid w:val="008235DE"/>
    <w:rsid w:val="0082499A"/>
    <w:rsid w:val="00824BA4"/>
    <w:rsid w:val="00824DF2"/>
    <w:rsid w:val="008259A8"/>
    <w:rsid w:val="00825CF6"/>
    <w:rsid w:val="00827205"/>
    <w:rsid w:val="0083054B"/>
    <w:rsid w:val="008307B8"/>
    <w:rsid w:val="00830BD6"/>
    <w:rsid w:val="00830EA3"/>
    <w:rsid w:val="00832F0E"/>
    <w:rsid w:val="0083312E"/>
    <w:rsid w:val="00833B7A"/>
    <w:rsid w:val="00834103"/>
    <w:rsid w:val="00834B61"/>
    <w:rsid w:val="00834CF4"/>
    <w:rsid w:val="00835859"/>
    <w:rsid w:val="008358E9"/>
    <w:rsid w:val="00836CE4"/>
    <w:rsid w:val="008372C9"/>
    <w:rsid w:val="00840202"/>
    <w:rsid w:val="00842AD7"/>
    <w:rsid w:val="00843210"/>
    <w:rsid w:val="00844E0F"/>
    <w:rsid w:val="00845836"/>
    <w:rsid w:val="00850DD2"/>
    <w:rsid w:val="0085153E"/>
    <w:rsid w:val="00851D87"/>
    <w:rsid w:val="00851FF5"/>
    <w:rsid w:val="008528BE"/>
    <w:rsid w:val="00852A4A"/>
    <w:rsid w:val="0085330C"/>
    <w:rsid w:val="008538FC"/>
    <w:rsid w:val="00854BCA"/>
    <w:rsid w:val="00855C12"/>
    <w:rsid w:val="00856128"/>
    <w:rsid w:val="008574A8"/>
    <w:rsid w:val="00857AD2"/>
    <w:rsid w:val="00860817"/>
    <w:rsid w:val="00862106"/>
    <w:rsid w:val="008621EB"/>
    <w:rsid w:val="00862ACE"/>
    <w:rsid w:val="00862E40"/>
    <w:rsid w:val="00862FB8"/>
    <w:rsid w:val="00863856"/>
    <w:rsid w:val="00863FD3"/>
    <w:rsid w:val="008653C7"/>
    <w:rsid w:val="008663B9"/>
    <w:rsid w:val="00866C23"/>
    <w:rsid w:val="0087003B"/>
    <w:rsid w:val="008722B4"/>
    <w:rsid w:val="0087278F"/>
    <w:rsid w:val="008737FF"/>
    <w:rsid w:val="00873875"/>
    <w:rsid w:val="00873E05"/>
    <w:rsid w:val="00873EB7"/>
    <w:rsid w:val="008740F3"/>
    <w:rsid w:val="00874111"/>
    <w:rsid w:val="00875326"/>
    <w:rsid w:val="00875402"/>
    <w:rsid w:val="00875878"/>
    <w:rsid w:val="00880E01"/>
    <w:rsid w:val="00880F8B"/>
    <w:rsid w:val="00881A54"/>
    <w:rsid w:val="00882C8E"/>
    <w:rsid w:val="00882D15"/>
    <w:rsid w:val="00883300"/>
    <w:rsid w:val="00885252"/>
    <w:rsid w:val="008856C1"/>
    <w:rsid w:val="008860C2"/>
    <w:rsid w:val="00886243"/>
    <w:rsid w:val="00886883"/>
    <w:rsid w:val="0089068B"/>
    <w:rsid w:val="00890A6E"/>
    <w:rsid w:val="00890BD1"/>
    <w:rsid w:val="00890EB3"/>
    <w:rsid w:val="00891266"/>
    <w:rsid w:val="00891620"/>
    <w:rsid w:val="0089229C"/>
    <w:rsid w:val="00892683"/>
    <w:rsid w:val="00892987"/>
    <w:rsid w:val="008931CC"/>
    <w:rsid w:val="008939CC"/>
    <w:rsid w:val="00893CE0"/>
    <w:rsid w:val="00893CF8"/>
    <w:rsid w:val="008943DE"/>
    <w:rsid w:val="00894477"/>
    <w:rsid w:val="00894A40"/>
    <w:rsid w:val="00895572"/>
    <w:rsid w:val="0089717C"/>
    <w:rsid w:val="00897F51"/>
    <w:rsid w:val="008A2762"/>
    <w:rsid w:val="008A2A0B"/>
    <w:rsid w:val="008A2C4B"/>
    <w:rsid w:val="008A2D44"/>
    <w:rsid w:val="008A3D3B"/>
    <w:rsid w:val="008A3F37"/>
    <w:rsid w:val="008A5801"/>
    <w:rsid w:val="008A5EA2"/>
    <w:rsid w:val="008A7337"/>
    <w:rsid w:val="008B0F49"/>
    <w:rsid w:val="008B15FE"/>
    <w:rsid w:val="008B1673"/>
    <w:rsid w:val="008B1B1A"/>
    <w:rsid w:val="008B263B"/>
    <w:rsid w:val="008B352F"/>
    <w:rsid w:val="008B598F"/>
    <w:rsid w:val="008B63C2"/>
    <w:rsid w:val="008B66AB"/>
    <w:rsid w:val="008B691C"/>
    <w:rsid w:val="008B728B"/>
    <w:rsid w:val="008C31DC"/>
    <w:rsid w:val="008C358C"/>
    <w:rsid w:val="008C3AA5"/>
    <w:rsid w:val="008C4179"/>
    <w:rsid w:val="008C6D8F"/>
    <w:rsid w:val="008D0011"/>
    <w:rsid w:val="008D1AEB"/>
    <w:rsid w:val="008D2026"/>
    <w:rsid w:val="008D2501"/>
    <w:rsid w:val="008D2F11"/>
    <w:rsid w:val="008D3385"/>
    <w:rsid w:val="008D462F"/>
    <w:rsid w:val="008D4715"/>
    <w:rsid w:val="008D5B41"/>
    <w:rsid w:val="008D62A1"/>
    <w:rsid w:val="008D657B"/>
    <w:rsid w:val="008D7470"/>
    <w:rsid w:val="008E02FF"/>
    <w:rsid w:val="008E0BB3"/>
    <w:rsid w:val="008E0E81"/>
    <w:rsid w:val="008E1998"/>
    <w:rsid w:val="008E19E4"/>
    <w:rsid w:val="008E3802"/>
    <w:rsid w:val="008E4CF5"/>
    <w:rsid w:val="008E5EB2"/>
    <w:rsid w:val="008E6B61"/>
    <w:rsid w:val="008E6F19"/>
    <w:rsid w:val="008E6F8B"/>
    <w:rsid w:val="008F0643"/>
    <w:rsid w:val="008F0724"/>
    <w:rsid w:val="008F0AF3"/>
    <w:rsid w:val="008F0FBB"/>
    <w:rsid w:val="008F1D87"/>
    <w:rsid w:val="008F1F44"/>
    <w:rsid w:val="008F22E4"/>
    <w:rsid w:val="008F230A"/>
    <w:rsid w:val="008F32C4"/>
    <w:rsid w:val="008F3735"/>
    <w:rsid w:val="008F3C24"/>
    <w:rsid w:val="008F3CC8"/>
    <w:rsid w:val="008F3FE6"/>
    <w:rsid w:val="008F5136"/>
    <w:rsid w:val="009011CC"/>
    <w:rsid w:val="00902F00"/>
    <w:rsid w:val="009039BE"/>
    <w:rsid w:val="009045E4"/>
    <w:rsid w:val="009046AB"/>
    <w:rsid w:val="009049AE"/>
    <w:rsid w:val="00904A4E"/>
    <w:rsid w:val="009050B6"/>
    <w:rsid w:val="00907308"/>
    <w:rsid w:val="009120D0"/>
    <w:rsid w:val="0091260D"/>
    <w:rsid w:val="00912E72"/>
    <w:rsid w:val="00913159"/>
    <w:rsid w:val="009131AE"/>
    <w:rsid w:val="00915576"/>
    <w:rsid w:val="00916A3A"/>
    <w:rsid w:val="00916CB6"/>
    <w:rsid w:val="00917916"/>
    <w:rsid w:val="00920052"/>
    <w:rsid w:val="00920FF5"/>
    <w:rsid w:val="00921DC2"/>
    <w:rsid w:val="00922AA4"/>
    <w:rsid w:val="00922BEC"/>
    <w:rsid w:val="009247C4"/>
    <w:rsid w:val="0092488A"/>
    <w:rsid w:val="009248D8"/>
    <w:rsid w:val="0092588F"/>
    <w:rsid w:val="00925C89"/>
    <w:rsid w:val="00926CD6"/>
    <w:rsid w:val="009270C7"/>
    <w:rsid w:val="00930966"/>
    <w:rsid w:val="00931813"/>
    <w:rsid w:val="00932B25"/>
    <w:rsid w:val="00932CAD"/>
    <w:rsid w:val="00933787"/>
    <w:rsid w:val="0093437A"/>
    <w:rsid w:val="00935CDC"/>
    <w:rsid w:val="0093691F"/>
    <w:rsid w:val="00937C94"/>
    <w:rsid w:val="0094036A"/>
    <w:rsid w:val="00940476"/>
    <w:rsid w:val="00940894"/>
    <w:rsid w:val="009408E0"/>
    <w:rsid w:val="00941F70"/>
    <w:rsid w:val="009424A4"/>
    <w:rsid w:val="0094282A"/>
    <w:rsid w:val="00942922"/>
    <w:rsid w:val="00942B8C"/>
    <w:rsid w:val="00942CA4"/>
    <w:rsid w:val="00943247"/>
    <w:rsid w:val="00943A02"/>
    <w:rsid w:val="00944499"/>
    <w:rsid w:val="009449D8"/>
    <w:rsid w:val="00944AA1"/>
    <w:rsid w:val="00945397"/>
    <w:rsid w:val="00945C71"/>
    <w:rsid w:val="00946A9A"/>
    <w:rsid w:val="009502BD"/>
    <w:rsid w:val="0095065F"/>
    <w:rsid w:val="00950B53"/>
    <w:rsid w:val="00950DCD"/>
    <w:rsid w:val="009513BA"/>
    <w:rsid w:val="00952248"/>
    <w:rsid w:val="00952678"/>
    <w:rsid w:val="0095306E"/>
    <w:rsid w:val="0095473F"/>
    <w:rsid w:val="00955673"/>
    <w:rsid w:val="009569C2"/>
    <w:rsid w:val="009572A2"/>
    <w:rsid w:val="00957941"/>
    <w:rsid w:val="0096001D"/>
    <w:rsid w:val="00960A17"/>
    <w:rsid w:val="00960D2B"/>
    <w:rsid w:val="00961139"/>
    <w:rsid w:val="009615F9"/>
    <w:rsid w:val="00961A4E"/>
    <w:rsid w:val="00961D6F"/>
    <w:rsid w:val="00962DDD"/>
    <w:rsid w:val="009635F8"/>
    <w:rsid w:val="00963F3A"/>
    <w:rsid w:val="009643BD"/>
    <w:rsid w:val="00964629"/>
    <w:rsid w:val="009647B7"/>
    <w:rsid w:val="00964B2E"/>
    <w:rsid w:val="00965927"/>
    <w:rsid w:val="009659B5"/>
    <w:rsid w:val="00965E14"/>
    <w:rsid w:val="00966DFF"/>
    <w:rsid w:val="00967476"/>
    <w:rsid w:val="0096794F"/>
    <w:rsid w:val="00967D0F"/>
    <w:rsid w:val="00970D19"/>
    <w:rsid w:val="009718A0"/>
    <w:rsid w:val="00971CAD"/>
    <w:rsid w:val="009723CA"/>
    <w:rsid w:val="0097272F"/>
    <w:rsid w:val="009732FF"/>
    <w:rsid w:val="00974311"/>
    <w:rsid w:val="00975C04"/>
    <w:rsid w:val="00976A38"/>
    <w:rsid w:val="00981A63"/>
    <w:rsid w:val="00981D62"/>
    <w:rsid w:val="00983046"/>
    <w:rsid w:val="00983E9C"/>
    <w:rsid w:val="00984081"/>
    <w:rsid w:val="0098412F"/>
    <w:rsid w:val="00985B04"/>
    <w:rsid w:val="00985DE6"/>
    <w:rsid w:val="009876A5"/>
    <w:rsid w:val="009903DE"/>
    <w:rsid w:val="00990EBA"/>
    <w:rsid w:val="00990FA7"/>
    <w:rsid w:val="00992642"/>
    <w:rsid w:val="00992B5A"/>
    <w:rsid w:val="00994255"/>
    <w:rsid w:val="009943BE"/>
    <w:rsid w:val="009948DB"/>
    <w:rsid w:val="00995742"/>
    <w:rsid w:val="00995897"/>
    <w:rsid w:val="00995AF1"/>
    <w:rsid w:val="00996B35"/>
    <w:rsid w:val="00996BD7"/>
    <w:rsid w:val="00997618"/>
    <w:rsid w:val="009979ED"/>
    <w:rsid w:val="009A0EF7"/>
    <w:rsid w:val="009A23D1"/>
    <w:rsid w:val="009A26C9"/>
    <w:rsid w:val="009A271A"/>
    <w:rsid w:val="009A4719"/>
    <w:rsid w:val="009A59F0"/>
    <w:rsid w:val="009A754A"/>
    <w:rsid w:val="009A7E7A"/>
    <w:rsid w:val="009B1715"/>
    <w:rsid w:val="009B3A48"/>
    <w:rsid w:val="009B3F50"/>
    <w:rsid w:val="009B5D32"/>
    <w:rsid w:val="009B67E7"/>
    <w:rsid w:val="009B6968"/>
    <w:rsid w:val="009B6E74"/>
    <w:rsid w:val="009C0A3A"/>
    <w:rsid w:val="009C0E64"/>
    <w:rsid w:val="009C0F3A"/>
    <w:rsid w:val="009C1E0F"/>
    <w:rsid w:val="009C253B"/>
    <w:rsid w:val="009C433E"/>
    <w:rsid w:val="009C4A7C"/>
    <w:rsid w:val="009C5082"/>
    <w:rsid w:val="009C66BE"/>
    <w:rsid w:val="009C6831"/>
    <w:rsid w:val="009C703B"/>
    <w:rsid w:val="009D076A"/>
    <w:rsid w:val="009D1A0A"/>
    <w:rsid w:val="009D24D3"/>
    <w:rsid w:val="009D2666"/>
    <w:rsid w:val="009D2F8D"/>
    <w:rsid w:val="009D3059"/>
    <w:rsid w:val="009D36CE"/>
    <w:rsid w:val="009D44DE"/>
    <w:rsid w:val="009D4F0D"/>
    <w:rsid w:val="009D5F75"/>
    <w:rsid w:val="009D5F78"/>
    <w:rsid w:val="009D61D8"/>
    <w:rsid w:val="009E02DA"/>
    <w:rsid w:val="009E0A9B"/>
    <w:rsid w:val="009E1714"/>
    <w:rsid w:val="009E2C7A"/>
    <w:rsid w:val="009E2D45"/>
    <w:rsid w:val="009E2D6F"/>
    <w:rsid w:val="009E3030"/>
    <w:rsid w:val="009E523C"/>
    <w:rsid w:val="009E5270"/>
    <w:rsid w:val="009E5D55"/>
    <w:rsid w:val="009E5EB9"/>
    <w:rsid w:val="009E64C1"/>
    <w:rsid w:val="009E74E0"/>
    <w:rsid w:val="009E7BC2"/>
    <w:rsid w:val="009F0291"/>
    <w:rsid w:val="009F038A"/>
    <w:rsid w:val="009F0638"/>
    <w:rsid w:val="009F1055"/>
    <w:rsid w:val="009F1595"/>
    <w:rsid w:val="009F16CA"/>
    <w:rsid w:val="009F2BF1"/>
    <w:rsid w:val="009F2D3E"/>
    <w:rsid w:val="009F34C7"/>
    <w:rsid w:val="009F3779"/>
    <w:rsid w:val="009F5039"/>
    <w:rsid w:val="009F5082"/>
    <w:rsid w:val="009F51C9"/>
    <w:rsid w:val="009F53A3"/>
    <w:rsid w:val="009F58D1"/>
    <w:rsid w:val="009F5DCF"/>
    <w:rsid w:val="009F630A"/>
    <w:rsid w:val="00A00AD2"/>
    <w:rsid w:val="00A01EDF"/>
    <w:rsid w:val="00A02335"/>
    <w:rsid w:val="00A0317E"/>
    <w:rsid w:val="00A03C38"/>
    <w:rsid w:val="00A04F5A"/>
    <w:rsid w:val="00A0579A"/>
    <w:rsid w:val="00A06B5C"/>
    <w:rsid w:val="00A072EA"/>
    <w:rsid w:val="00A07FAA"/>
    <w:rsid w:val="00A11930"/>
    <w:rsid w:val="00A11AA3"/>
    <w:rsid w:val="00A11DDF"/>
    <w:rsid w:val="00A12720"/>
    <w:rsid w:val="00A129B2"/>
    <w:rsid w:val="00A129C2"/>
    <w:rsid w:val="00A131D1"/>
    <w:rsid w:val="00A13227"/>
    <w:rsid w:val="00A14AB0"/>
    <w:rsid w:val="00A14B8F"/>
    <w:rsid w:val="00A157C2"/>
    <w:rsid w:val="00A15BE6"/>
    <w:rsid w:val="00A167B6"/>
    <w:rsid w:val="00A22056"/>
    <w:rsid w:val="00A242FD"/>
    <w:rsid w:val="00A24836"/>
    <w:rsid w:val="00A25136"/>
    <w:rsid w:val="00A2599D"/>
    <w:rsid w:val="00A26159"/>
    <w:rsid w:val="00A2695F"/>
    <w:rsid w:val="00A30AF5"/>
    <w:rsid w:val="00A312F5"/>
    <w:rsid w:val="00A334BA"/>
    <w:rsid w:val="00A3376F"/>
    <w:rsid w:val="00A33FD5"/>
    <w:rsid w:val="00A35B1E"/>
    <w:rsid w:val="00A35EC5"/>
    <w:rsid w:val="00A36001"/>
    <w:rsid w:val="00A36D04"/>
    <w:rsid w:val="00A371C7"/>
    <w:rsid w:val="00A372C6"/>
    <w:rsid w:val="00A41728"/>
    <w:rsid w:val="00A41AE3"/>
    <w:rsid w:val="00A41CB8"/>
    <w:rsid w:val="00A424CC"/>
    <w:rsid w:val="00A42943"/>
    <w:rsid w:val="00A4295F"/>
    <w:rsid w:val="00A43A07"/>
    <w:rsid w:val="00A43A83"/>
    <w:rsid w:val="00A43C59"/>
    <w:rsid w:val="00A43E48"/>
    <w:rsid w:val="00A44EB9"/>
    <w:rsid w:val="00A46448"/>
    <w:rsid w:val="00A46559"/>
    <w:rsid w:val="00A46741"/>
    <w:rsid w:val="00A46830"/>
    <w:rsid w:val="00A475B6"/>
    <w:rsid w:val="00A47FE2"/>
    <w:rsid w:val="00A50565"/>
    <w:rsid w:val="00A5197C"/>
    <w:rsid w:val="00A51A47"/>
    <w:rsid w:val="00A524CD"/>
    <w:rsid w:val="00A52675"/>
    <w:rsid w:val="00A529F1"/>
    <w:rsid w:val="00A530DE"/>
    <w:rsid w:val="00A53848"/>
    <w:rsid w:val="00A542F7"/>
    <w:rsid w:val="00A55396"/>
    <w:rsid w:val="00A56141"/>
    <w:rsid w:val="00A5618E"/>
    <w:rsid w:val="00A56546"/>
    <w:rsid w:val="00A56DF7"/>
    <w:rsid w:val="00A57747"/>
    <w:rsid w:val="00A605AF"/>
    <w:rsid w:val="00A605B0"/>
    <w:rsid w:val="00A61375"/>
    <w:rsid w:val="00A6171B"/>
    <w:rsid w:val="00A61E8C"/>
    <w:rsid w:val="00A634C9"/>
    <w:rsid w:val="00A6399F"/>
    <w:rsid w:val="00A63E2E"/>
    <w:rsid w:val="00A65208"/>
    <w:rsid w:val="00A6521D"/>
    <w:rsid w:val="00A658BA"/>
    <w:rsid w:val="00A65CC0"/>
    <w:rsid w:val="00A6662D"/>
    <w:rsid w:val="00A671B4"/>
    <w:rsid w:val="00A70129"/>
    <w:rsid w:val="00A702E1"/>
    <w:rsid w:val="00A70C26"/>
    <w:rsid w:val="00A72219"/>
    <w:rsid w:val="00A735DA"/>
    <w:rsid w:val="00A73791"/>
    <w:rsid w:val="00A7591E"/>
    <w:rsid w:val="00A77F66"/>
    <w:rsid w:val="00A80E8E"/>
    <w:rsid w:val="00A81129"/>
    <w:rsid w:val="00A8124F"/>
    <w:rsid w:val="00A8197A"/>
    <w:rsid w:val="00A82FD1"/>
    <w:rsid w:val="00A83709"/>
    <w:rsid w:val="00A845C5"/>
    <w:rsid w:val="00A85788"/>
    <w:rsid w:val="00A85A47"/>
    <w:rsid w:val="00A86464"/>
    <w:rsid w:val="00A86AF0"/>
    <w:rsid w:val="00A86F7C"/>
    <w:rsid w:val="00A874B1"/>
    <w:rsid w:val="00A87872"/>
    <w:rsid w:val="00A904C1"/>
    <w:rsid w:val="00A911F9"/>
    <w:rsid w:val="00A91458"/>
    <w:rsid w:val="00A9196C"/>
    <w:rsid w:val="00A91C69"/>
    <w:rsid w:val="00A93296"/>
    <w:rsid w:val="00A94C5C"/>
    <w:rsid w:val="00A94E0A"/>
    <w:rsid w:val="00A95597"/>
    <w:rsid w:val="00A95D47"/>
    <w:rsid w:val="00A961EB"/>
    <w:rsid w:val="00A962C3"/>
    <w:rsid w:val="00A96C4A"/>
    <w:rsid w:val="00A970CD"/>
    <w:rsid w:val="00A97C89"/>
    <w:rsid w:val="00AA2CCA"/>
    <w:rsid w:val="00AA326C"/>
    <w:rsid w:val="00AA3DAD"/>
    <w:rsid w:val="00AA3F44"/>
    <w:rsid w:val="00AA47C7"/>
    <w:rsid w:val="00AA4DA8"/>
    <w:rsid w:val="00AA4FBB"/>
    <w:rsid w:val="00AA5759"/>
    <w:rsid w:val="00AA5D5D"/>
    <w:rsid w:val="00AB1B5D"/>
    <w:rsid w:val="00AB3195"/>
    <w:rsid w:val="00AB3AA6"/>
    <w:rsid w:val="00AB3BAC"/>
    <w:rsid w:val="00AB6D60"/>
    <w:rsid w:val="00AB7253"/>
    <w:rsid w:val="00AB72B7"/>
    <w:rsid w:val="00AB7784"/>
    <w:rsid w:val="00AB786D"/>
    <w:rsid w:val="00AB7EFE"/>
    <w:rsid w:val="00AC177A"/>
    <w:rsid w:val="00AC43B4"/>
    <w:rsid w:val="00AC56A3"/>
    <w:rsid w:val="00AC6919"/>
    <w:rsid w:val="00AC722B"/>
    <w:rsid w:val="00AD1083"/>
    <w:rsid w:val="00AD110F"/>
    <w:rsid w:val="00AD2B70"/>
    <w:rsid w:val="00AD47EC"/>
    <w:rsid w:val="00AD643E"/>
    <w:rsid w:val="00AD7F05"/>
    <w:rsid w:val="00AE0653"/>
    <w:rsid w:val="00AE09AF"/>
    <w:rsid w:val="00AE0B3F"/>
    <w:rsid w:val="00AE0C8C"/>
    <w:rsid w:val="00AE35D6"/>
    <w:rsid w:val="00AE3F1D"/>
    <w:rsid w:val="00AE5998"/>
    <w:rsid w:val="00AE5E6C"/>
    <w:rsid w:val="00AE6D89"/>
    <w:rsid w:val="00AE6F62"/>
    <w:rsid w:val="00AE7D1C"/>
    <w:rsid w:val="00AF226E"/>
    <w:rsid w:val="00AF248C"/>
    <w:rsid w:val="00AF321A"/>
    <w:rsid w:val="00AF379A"/>
    <w:rsid w:val="00AF3CE1"/>
    <w:rsid w:val="00AF3D24"/>
    <w:rsid w:val="00AF3E12"/>
    <w:rsid w:val="00AF55FF"/>
    <w:rsid w:val="00AF562A"/>
    <w:rsid w:val="00AF566D"/>
    <w:rsid w:val="00AF5EC1"/>
    <w:rsid w:val="00AF6CCE"/>
    <w:rsid w:val="00AF78D4"/>
    <w:rsid w:val="00AF7C51"/>
    <w:rsid w:val="00B00119"/>
    <w:rsid w:val="00B00A70"/>
    <w:rsid w:val="00B01A16"/>
    <w:rsid w:val="00B02236"/>
    <w:rsid w:val="00B02A15"/>
    <w:rsid w:val="00B04A3F"/>
    <w:rsid w:val="00B04F16"/>
    <w:rsid w:val="00B055B6"/>
    <w:rsid w:val="00B069EE"/>
    <w:rsid w:val="00B07298"/>
    <w:rsid w:val="00B109CC"/>
    <w:rsid w:val="00B11294"/>
    <w:rsid w:val="00B119AD"/>
    <w:rsid w:val="00B12C68"/>
    <w:rsid w:val="00B14159"/>
    <w:rsid w:val="00B14EB2"/>
    <w:rsid w:val="00B14ED9"/>
    <w:rsid w:val="00B15A10"/>
    <w:rsid w:val="00B167A1"/>
    <w:rsid w:val="00B170A7"/>
    <w:rsid w:val="00B170ED"/>
    <w:rsid w:val="00B21CBE"/>
    <w:rsid w:val="00B23AD3"/>
    <w:rsid w:val="00B23D0C"/>
    <w:rsid w:val="00B259D6"/>
    <w:rsid w:val="00B25ACB"/>
    <w:rsid w:val="00B26BBA"/>
    <w:rsid w:val="00B26EB5"/>
    <w:rsid w:val="00B2720F"/>
    <w:rsid w:val="00B27848"/>
    <w:rsid w:val="00B2793B"/>
    <w:rsid w:val="00B30876"/>
    <w:rsid w:val="00B30C6D"/>
    <w:rsid w:val="00B31BE3"/>
    <w:rsid w:val="00B31C06"/>
    <w:rsid w:val="00B31F92"/>
    <w:rsid w:val="00B31FDF"/>
    <w:rsid w:val="00B326D3"/>
    <w:rsid w:val="00B32AA1"/>
    <w:rsid w:val="00B32BAF"/>
    <w:rsid w:val="00B340F8"/>
    <w:rsid w:val="00B34713"/>
    <w:rsid w:val="00B34BF2"/>
    <w:rsid w:val="00B34C1B"/>
    <w:rsid w:val="00B35220"/>
    <w:rsid w:val="00B3533F"/>
    <w:rsid w:val="00B35DBA"/>
    <w:rsid w:val="00B360F2"/>
    <w:rsid w:val="00B3712F"/>
    <w:rsid w:val="00B377B0"/>
    <w:rsid w:val="00B41F98"/>
    <w:rsid w:val="00B424CC"/>
    <w:rsid w:val="00B42957"/>
    <w:rsid w:val="00B446C9"/>
    <w:rsid w:val="00B44719"/>
    <w:rsid w:val="00B4506E"/>
    <w:rsid w:val="00B45A2A"/>
    <w:rsid w:val="00B469EC"/>
    <w:rsid w:val="00B46E40"/>
    <w:rsid w:val="00B47BE8"/>
    <w:rsid w:val="00B47DDE"/>
    <w:rsid w:val="00B51F2B"/>
    <w:rsid w:val="00B52978"/>
    <w:rsid w:val="00B52C05"/>
    <w:rsid w:val="00B530BB"/>
    <w:rsid w:val="00B55F56"/>
    <w:rsid w:val="00B60400"/>
    <w:rsid w:val="00B607CF"/>
    <w:rsid w:val="00B60A4B"/>
    <w:rsid w:val="00B60A68"/>
    <w:rsid w:val="00B60CC1"/>
    <w:rsid w:val="00B610BB"/>
    <w:rsid w:val="00B61CD1"/>
    <w:rsid w:val="00B62315"/>
    <w:rsid w:val="00B626C1"/>
    <w:rsid w:val="00B6378C"/>
    <w:rsid w:val="00B63CE4"/>
    <w:rsid w:val="00B6438F"/>
    <w:rsid w:val="00B644DB"/>
    <w:rsid w:val="00B65689"/>
    <w:rsid w:val="00B657E8"/>
    <w:rsid w:val="00B66F14"/>
    <w:rsid w:val="00B7030A"/>
    <w:rsid w:val="00B70E17"/>
    <w:rsid w:val="00B71D2B"/>
    <w:rsid w:val="00B72A24"/>
    <w:rsid w:val="00B73808"/>
    <w:rsid w:val="00B7390B"/>
    <w:rsid w:val="00B73EF1"/>
    <w:rsid w:val="00B740F0"/>
    <w:rsid w:val="00B74321"/>
    <w:rsid w:val="00B74441"/>
    <w:rsid w:val="00B74C21"/>
    <w:rsid w:val="00B74E34"/>
    <w:rsid w:val="00B75AD2"/>
    <w:rsid w:val="00B770DA"/>
    <w:rsid w:val="00B77BDF"/>
    <w:rsid w:val="00B77D69"/>
    <w:rsid w:val="00B77ECF"/>
    <w:rsid w:val="00B77EFD"/>
    <w:rsid w:val="00B80816"/>
    <w:rsid w:val="00B8087B"/>
    <w:rsid w:val="00B82164"/>
    <w:rsid w:val="00B82A30"/>
    <w:rsid w:val="00B82C96"/>
    <w:rsid w:val="00B82DC7"/>
    <w:rsid w:val="00B834EB"/>
    <w:rsid w:val="00B83847"/>
    <w:rsid w:val="00B84854"/>
    <w:rsid w:val="00B85590"/>
    <w:rsid w:val="00B90C72"/>
    <w:rsid w:val="00B91965"/>
    <w:rsid w:val="00B91F1C"/>
    <w:rsid w:val="00B93141"/>
    <w:rsid w:val="00B9389F"/>
    <w:rsid w:val="00B95CEA"/>
    <w:rsid w:val="00B960B2"/>
    <w:rsid w:val="00B964BD"/>
    <w:rsid w:val="00B976A5"/>
    <w:rsid w:val="00B97B3C"/>
    <w:rsid w:val="00BA1EEC"/>
    <w:rsid w:val="00BA26DB"/>
    <w:rsid w:val="00BA342A"/>
    <w:rsid w:val="00BA4217"/>
    <w:rsid w:val="00BA5093"/>
    <w:rsid w:val="00BA779D"/>
    <w:rsid w:val="00BB05AC"/>
    <w:rsid w:val="00BB1CAF"/>
    <w:rsid w:val="00BB3136"/>
    <w:rsid w:val="00BB3800"/>
    <w:rsid w:val="00BB4613"/>
    <w:rsid w:val="00BB5CE7"/>
    <w:rsid w:val="00BB5E02"/>
    <w:rsid w:val="00BB6445"/>
    <w:rsid w:val="00BB7156"/>
    <w:rsid w:val="00BC0F92"/>
    <w:rsid w:val="00BC13B1"/>
    <w:rsid w:val="00BC1D9D"/>
    <w:rsid w:val="00BC242F"/>
    <w:rsid w:val="00BC2C20"/>
    <w:rsid w:val="00BC2E81"/>
    <w:rsid w:val="00BC3861"/>
    <w:rsid w:val="00BC3D1A"/>
    <w:rsid w:val="00BC3FD8"/>
    <w:rsid w:val="00BC459F"/>
    <w:rsid w:val="00BC56B0"/>
    <w:rsid w:val="00BC6107"/>
    <w:rsid w:val="00BC66FA"/>
    <w:rsid w:val="00BC6D58"/>
    <w:rsid w:val="00BD158A"/>
    <w:rsid w:val="00BD1BC6"/>
    <w:rsid w:val="00BD1F4F"/>
    <w:rsid w:val="00BD4A49"/>
    <w:rsid w:val="00BD7B28"/>
    <w:rsid w:val="00BE050F"/>
    <w:rsid w:val="00BE059D"/>
    <w:rsid w:val="00BE0898"/>
    <w:rsid w:val="00BE091A"/>
    <w:rsid w:val="00BE0EC9"/>
    <w:rsid w:val="00BE18DF"/>
    <w:rsid w:val="00BE288F"/>
    <w:rsid w:val="00BE29A7"/>
    <w:rsid w:val="00BE2C75"/>
    <w:rsid w:val="00BE2EC0"/>
    <w:rsid w:val="00BE58D3"/>
    <w:rsid w:val="00BE5918"/>
    <w:rsid w:val="00BE59B5"/>
    <w:rsid w:val="00BE7F38"/>
    <w:rsid w:val="00BF004F"/>
    <w:rsid w:val="00BF0657"/>
    <w:rsid w:val="00BF0E9D"/>
    <w:rsid w:val="00BF1A41"/>
    <w:rsid w:val="00BF2890"/>
    <w:rsid w:val="00BF4366"/>
    <w:rsid w:val="00BF4629"/>
    <w:rsid w:val="00BF47FD"/>
    <w:rsid w:val="00BF5314"/>
    <w:rsid w:val="00BF54D4"/>
    <w:rsid w:val="00BF6AC6"/>
    <w:rsid w:val="00C008B7"/>
    <w:rsid w:val="00C00B07"/>
    <w:rsid w:val="00C00C3E"/>
    <w:rsid w:val="00C017DA"/>
    <w:rsid w:val="00C02830"/>
    <w:rsid w:val="00C02B02"/>
    <w:rsid w:val="00C02B3A"/>
    <w:rsid w:val="00C02DA7"/>
    <w:rsid w:val="00C03102"/>
    <w:rsid w:val="00C03864"/>
    <w:rsid w:val="00C03B4F"/>
    <w:rsid w:val="00C04372"/>
    <w:rsid w:val="00C062D0"/>
    <w:rsid w:val="00C11673"/>
    <w:rsid w:val="00C11D73"/>
    <w:rsid w:val="00C121F3"/>
    <w:rsid w:val="00C12A7C"/>
    <w:rsid w:val="00C12C09"/>
    <w:rsid w:val="00C1341A"/>
    <w:rsid w:val="00C1385F"/>
    <w:rsid w:val="00C143D1"/>
    <w:rsid w:val="00C14A59"/>
    <w:rsid w:val="00C15FB7"/>
    <w:rsid w:val="00C16BFF"/>
    <w:rsid w:val="00C207F0"/>
    <w:rsid w:val="00C20ABE"/>
    <w:rsid w:val="00C210A6"/>
    <w:rsid w:val="00C229C7"/>
    <w:rsid w:val="00C23639"/>
    <w:rsid w:val="00C238B5"/>
    <w:rsid w:val="00C23D7B"/>
    <w:rsid w:val="00C24813"/>
    <w:rsid w:val="00C25403"/>
    <w:rsid w:val="00C26204"/>
    <w:rsid w:val="00C27D09"/>
    <w:rsid w:val="00C319F4"/>
    <w:rsid w:val="00C324DE"/>
    <w:rsid w:val="00C34399"/>
    <w:rsid w:val="00C34478"/>
    <w:rsid w:val="00C356E1"/>
    <w:rsid w:val="00C35E7B"/>
    <w:rsid w:val="00C36061"/>
    <w:rsid w:val="00C3616B"/>
    <w:rsid w:val="00C3631F"/>
    <w:rsid w:val="00C373E7"/>
    <w:rsid w:val="00C37ED2"/>
    <w:rsid w:val="00C420AA"/>
    <w:rsid w:val="00C43750"/>
    <w:rsid w:val="00C4517F"/>
    <w:rsid w:val="00C456CB"/>
    <w:rsid w:val="00C47155"/>
    <w:rsid w:val="00C47F22"/>
    <w:rsid w:val="00C50DE6"/>
    <w:rsid w:val="00C50E0D"/>
    <w:rsid w:val="00C517C8"/>
    <w:rsid w:val="00C525F2"/>
    <w:rsid w:val="00C52F31"/>
    <w:rsid w:val="00C53F15"/>
    <w:rsid w:val="00C542DC"/>
    <w:rsid w:val="00C54C4D"/>
    <w:rsid w:val="00C54E8E"/>
    <w:rsid w:val="00C559C5"/>
    <w:rsid w:val="00C55C49"/>
    <w:rsid w:val="00C55FB9"/>
    <w:rsid w:val="00C5683C"/>
    <w:rsid w:val="00C570A6"/>
    <w:rsid w:val="00C57E1B"/>
    <w:rsid w:val="00C57E5E"/>
    <w:rsid w:val="00C60A75"/>
    <w:rsid w:val="00C6315B"/>
    <w:rsid w:val="00C633F7"/>
    <w:rsid w:val="00C63631"/>
    <w:rsid w:val="00C638DC"/>
    <w:rsid w:val="00C6500D"/>
    <w:rsid w:val="00C65053"/>
    <w:rsid w:val="00C65F38"/>
    <w:rsid w:val="00C67984"/>
    <w:rsid w:val="00C67C9C"/>
    <w:rsid w:val="00C67DEB"/>
    <w:rsid w:val="00C701A5"/>
    <w:rsid w:val="00C70ABE"/>
    <w:rsid w:val="00C70CB1"/>
    <w:rsid w:val="00C7131C"/>
    <w:rsid w:val="00C7162A"/>
    <w:rsid w:val="00C72541"/>
    <w:rsid w:val="00C72D01"/>
    <w:rsid w:val="00C73134"/>
    <w:rsid w:val="00C73E4D"/>
    <w:rsid w:val="00C75917"/>
    <w:rsid w:val="00C75E52"/>
    <w:rsid w:val="00C764CA"/>
    <w:rsid w:val="00C76B07"/>
    <w:rsid w:val="00C77FA8"/>
    <w:rsid w:val="00C81895"/>
    <w:rsid w:val="00C8220C"/>
    <w:rsid w:val="00C828D3"/>
    <w:rsid w:val="00C8409D"/>
    <w:rsid w:val="00C841FE"/>
    <w:rsid w:val="00C855CF"/>
    <w:rsid w:val="00C8718A"/>
    <w:rsid w:val="00C87421"/>
    <w:rsid w:val="00C87932"/>
    <w:rsid w:val="00C87C4D"/>
    <w:rsid w:val="00C9246C"/>
    <w:rsid w:val="00C94BCA"/>
    <w:rsid w:val="00C9503F"/>
    <w:rsid w:val="00C96066"/>
    <w:rsid w:val="00C9624B"/>
    <w:rsid w:val="00C964FF"/>
    <w:rsid w:val="00C9681A"/>
    <w:rsid w:val="00C97672"/>
    <w:rsid w:val="00C9787E"/>
    <w:rsid w:val="00C97936"/>
    <w:rsid w:val="00C97B44"/>
    <w:rsid w:val="00CA1445"/>
    <w:rsid w:val="00CA156A"/>
    <w:rsid w:val="00CA2E49"/>
    <w:rsid w:val="00CA307E"/>
    <w:rsid w:val="00CA33FF"/>
    <w:rsid w:val="00CA3B26"/>
    <w:rsid w:val="00CA3FF6"/>
    <w:rsid w:val="00CA4EBC"/>
    <w:rsid w:val="00CA523E"/>
    <w:rsid w:val="00CA52CC"/>
    <w:rsid w:val="00CA5507"/>
    <w:rsid w:val="00CA57F8"/>
    <w:rsid w:val="00CA6345"/>
    <w:rsid w:val="00CA6493"/>
    <w:rsid w:val="00CB0057"/>
    <w:rsid w:val="00CB092D"/>
    <w:rsid w:val="00CB2030"/>
    <w:rsid w:val="00CB27AA"/>
    <w:rsid w:val="00CB4525"/>
    <w:rsid w:val="00CB4E54"/>
    <w:rsid w:val="00CB5425"/>
    <w:rsid w:val="00CB5688"/>
    <w:rsid w:val="00CB5A98"/>
    <w:rsid w:val="00CB670B"/>
    <w:rsid w:val="00CB6978"/>
    <w:rsid w:val="00CB6C61"/>
    <w:rsid w:val="00CB6D80"/>
    <w:rsid w:val="00CB7184"/>
    <w:rsid w:val="00CB72E1"/>
    <w:rsid w:val="00CB72FB"/>
    <w:rsid w:val="00CB7C23"/>
    <w:rsid w:val="00CC0254"/>
    <w:rsid w:val="00CC040C"/>
    <w:rsid w:val="00CC1379"/>
    <w:rsid w:val="00CC3CDA"/>
    <w:rsid w:val="00CC48E5"/>
    <w:rsid w:val="00CC4921"/>
    <w:rsid w:val="00CC4A46"/>
    <w:rsid w:val="00CC4F5B"/>
    <w:rsid w:val="00CC5447"/>
    <w:rsid w:val="00CC57DF"/>
    <w:rsid w:val="00CC5D5F"/>
    <w:rsid w:val="00CC6041"/>
    <w:rsid w:val="00CC6BBE"/>
    <w:rsid w:val="00CC7532"/>
    <w:rsid w:val="00CC78E8"/>
    <w:rsid w:val="00CD0A6B"/>
    <w:rsid w:val="00CD0EBD"/>
    <w:rsid w:val="00CD226A"/>
    <w:rsid w:val="00CD264C"/>
    <w:rsid w:val="00CD2B07"/>
    <w:rsid w:val="00CD2D9D"/>
    <w:rsid w:val="00CD4B6E"/>
    <w:rsid w:val="00CD4CAF"/>
    <w:rsid w:val="00CD53D8"/>
    <w:rsid w:val="00CD610F"/>
    <w:rsid w:val="00CD67B5"/>
    <w:rsid w:val="00CD7A62"/>
    <w:rsid w:val="00CE0792"/>
    <w:rsid w:val="00CE0D87"/>
    <w:rsid w:val="00CE18F2"/>
    <w:rsid w:val="00CE2534"/>
    <w:rsid w:val="00CE26E7"/>
    <w:rsid w:val="00CE26E9"/>
    <w:rsid w:val="00CE2BD3"/>
    <w:rsid w:val="00CE3EC3"/>
    <w:rsid w:val="00CE4343"/>
    <w:rsid w:val="00CE4BA9"/>
    <w:rsid w:val="00CE56C0"/>
    <w:rsid w:val="00CE5D8C"/>
    <w:rsid w:val="00CF206B"/>
    <w:rsid w:val="00CF28A0"/>
    <w:rsid w:val="00CF32D0"/>
    <w:rsid w:val="00CF46EC"/>
    <w:rsid w:val="00CF4A1B"/>
    <w:rsid w:val="00CF5D16"/>
    <w:rsid w:val="00CF6DEA"/>
    <w:rsid w:val="00CF7458"/>
    <w:rsid w:val="00CF7645"/>
    <w:rsid w:val="00CF76B5"/>
    <w:rsid w:val="00CF79F8"/>
    <w:rsid w:val="00D01264"/>
    <w:rsid w:val="00D02A3B"/>
    <w:rsid w:val="00D02FD1"/>
    <w:rsid w:val="00D03E13"/>
    <w:rsid w:val="00D03EC7"/>
    <w:rsid w:val="00D03F93"/>
    <w:rsid w:val="00D04F9A"/>
    <w:rsid w:val="00D054F6"/>
    <w:rsid w:val="00D07D04"/>
    <w:rsid w:val="00D1052D"/>
    <w:rsid w:val="00D1059A"/>
    <w:rsid w:val="00D10D04"/>
    <w:rsid w:val="00D10F2E"/>
    <w:rsid w:val="00D11469"/>
    <w:rsid w:val="00D13A43"/>
    <w:rsid w:val="00D15B63"/>
    <w:rsid w:val="00D1692D"/>
    <w:rsid w:val="00D16A59"/>
    <w:rsid w:val="00D17011"/>
    <w:rsid w:val="00D20D58"/>
    <w:rsid w:val="00D20E9C"/>
    <w:rsid w:val="00D22680"/>
    <w:rsid w:val="00D22BEF"/>
    <w:rsid w:val="00D262A9"/>
    <w:rsid w:val="00D26E2D"/>
    <w:rsid w:val="00D275C6"/>
    <w:rsid w:val="00D27DAB"/>
    <w:rsid w:val="00D30956"/>
    <w:rsid w:val="00D3115A"/>
    <w:rsid w:val="00D31694"/>
    <w:rsid w:val="00D3283B"/>
    <w:rsid w:val="00D3318D"/>
    <w:rsid w:val="00D33595"/>
    <w:rsid w:val="00D33FFD"/>
    <w:rsid w:val="00D35567"/>
    <w:rsid w:val="00D368CD"/>
    <w:rsid w:val="00D36B25"/>
    <w:rsid w:val="00D36E8A"/>
    <w:rsid w:val="00D371CA"/>
    <w:rsid w:val="00D41072"/>
    <w:rsid w:val="00D41263"/>
    <w:rsid w:val="00D4319E"/>
    <w:rsid w:val="00D44D04"/>
    <w:rsid w:val="00D45F48"/>
    <w:rsid w:val="00D5132B"/>
    <w:rsid w:val="00D51BA6"/>
    <w:rsid w:val="00D51C51"/>
    <w:rsid w:val="00D53778"/>
    <w:rsid w:val="00D540D8"/>
    <w:rsid w:val="00D5689A"/>
    <w:rsid w:val="00D569FA"/>
    <w:rsid w:val="00D57C19"/>
    <w:rsid w:val="00D602B6"/>
    <w:rsid w:val="00D605C3"/>
    <w:rsid w:val="00D630E9"/>
    <w:rsid w:val="00D634D2"/>
    <w:rsid w:val="00D642F8"/>
    <w:rsid w:val="00D64876"/>
    <w:rsid w:val="00D64B81"/>
    <w:rsid w:val="00D65F46"/>
    <w:rsid w:val="00D66711"/>
    <w:rsid w:val="00D66CC2"/>
    <w:rsid w:val="00D711D1"/>
    <w:rsid w:val="00D715EA"/>
    <w:rsid w:val="00D71E75"/>
    <w:rsid w:val="00D733D1"/>
    <w:rsid w:val="00D75113"/>
    <w:rsid w:val="00D75612"/>
    <w:rsid w:val="00D75EB8"/>
    <w:rsid w:val="00D76548"/>
    <w:rsid w:val="00D77E81"/>
    <w:rsid w:val="00D77FDF"/>
    <w:rsid w:val="00D80B5B"/>
    <w:rsid w:val="00D81372"/>
    <w:rsid w:val="00D81931"/>
    <w:rsid w:val="00D81D87"/>
    <w:rsid w:val="00D82CEC"/>
    <w:rsid w:val="00D83279"/>
    <w:rsid w:val="00D8474B"/>
    <w:rsid w:val="00D85C6E"/>
    <w:rsid w:val="00D85E69"/>
    <w:rsid w:val="00D85ECA"/>
    <w:rsid w:val="00D861CF"/>
    <w:rsid w:val="00D86510"/>
    <w:rsid w:val="00D867E5"/>
    <w:rsid w:val="00D8758A"/>
    <w:rsid w:val="00D909AC"/>
    <w:rsid w:val="00D90B38"/>
    <w:rsid w:val="00D92C34"/>
    <w:rsid w:val="00D95F2D"/>
    <w:rsid w:val="00D970B2"/>
    <w:rsid w:val="00D970CB"/>
    <w:rsid w:val="00DA0AC0"/>
    <w:rsid w:val="00DA0C24"/>
    <w:rsid w:val="00DA1BDB"/>
    <w:rsid w:val="00DA254E"/>
    <w:rsid w:val="00DA284A"/>
    <w:rsid w:val="00DA2A9E"/>
    <w:rsid w:val="00DA2B6D"/>
    <w:rsid w:val="00DA311D"/>
    <w:rsid w:val="00DA3E91"/>
    <w:rsid w:val="00DA5605"/>
    <w:rsid w:val="00DA5CE2"/>
    <w:rsid w:val="00DA6D12"/>
    <w:rsid w:val="00DB0C88"/>
    <w:rsid w:val="00DB16A0"/>
    <w:rsid w:val="00DB2420"/>
    <w:rsid w:val="00DB32D5"/>
    <w:rsid w:val="00DB3D60"/>
    <w:rsid w:val="00DB40DB"/>
    <w:rsid w:val="00DB454F"/>
    <w:rsid w:val="00DB4AB2"/>
    <w:rsid w:val="00DB7004"/>
    <w:rsid w:val="00DC04F7"/>
    <w:rsid w:val="00DC6736"/>
    <w:rsid w:val="00DC6A57"/>
    <w:rsid w:val="00DC75D2"/>
    <w:rsid w:val="00DC7BF8"/>
    <w:rsid w:val="00DD018B"/>
    <w:rsid w:val="00DD1C0F"/>
    <w:rsid w:val="00DD34B2"/>
    <w:rsid w:val="00DD3B01"/>
    <w:rsid w:val="00DD4830"/>
    <w:rsid w:val="00DD55FC"/>
    <w:rsid w:val="00DD5DE0"/>
    <w:rsid w:val="00DD660F"/>
    <w:rsid w:val="00DD69C3"/>
    <w:rsid w:val="00DE1068"/>
    <w:rsid w:val="00DE11F9"/>
    <w:rsid w:val="00DE13F6"/>
    <w:rsid w:val="00DE18E8"/>
    <w:rsid w:val="00DE192E"/>
    <w:rsid w:val="00DE3BDD"/>
    <w:rsid w:val="00DE45FF"/>
    <w:rsid w:val="00DE4C56"/>
    <w:rsid w:val="00DE52CE"/>
    <w:rsid w:val="00DE575E"/>
    <w:rsid w:val="00DE680C"/>
    <w:rsid w:val="00DE7F9E"/>
    <w:rsid w:val="00DF0907"/>
    <w:rsid w:val="00DF0A75"/>
    <w:rsid w:val="00DF159F"/>
    <w:rsid w:val="00DF186B"/>
    <w:rsid w:val="00DF3656"/>
    <w:rsid w:val="00DF36E5"/>
    <w:rsid w:val="00DF3E08"/>
    <w:rsid w:val="00DF3FB5"/>
    <w:rsid w:val="00DF4118"/>
    <w:rsid w:val="00DF455B"/>
    <w:rsid w:val="00DF51C6"/>
    <w:rsid w:val="00DF557C"/>
    <w:rsid w:val="00DF5A86"/>
    <w:rsid w:val="00DF616B"/>
    <w:rsid w:val="00DF65FD"/>
    <w:rsid w:val="00E00A92"/>
    <w:rsid w:val="00E00B4A"/>
    <w:rsid w:val="00E011DF"/>
    <w:rsid w:val="00E01825"/>
    <w:rsid w:val="00E030BF"/>
    <w:rsid w:val="00E030D3"/>
    <w:rsid w:val="00E04391"/>
    <w:rsid w:val="00E0518D"/>
    <w:rsid w:val="00E051A3"/>
    <w:rsid w:val="00E055BD"/>
    <w:rsid w:val="00E05D54"/>
    <w:rsid w:val="00E06064"/>
    <w:rsid w:val="00E11143"/>
    <w:rsid w:val="00E11CAA"/>
    <w:rsid w:val="00E12614"/>
    <w:rsid w:val="00E12B54"/>
    <w:rsid w:val="00E12BCB"/>
    <w:rsid w:val="00E12DA6"/>
    <w:rsid w:val="00E12E29"/>
    <w:rsid w:val="00E13958"/>
    <w:rsid w:val="00E13A6E"/>
    <w:rsid w:val="00E15AD5"/>
    <w:rsid w:val="00E16B91"/>
    <w:rsid w:val="00E172BA"/>
    <w:rsid w:val="00E17B06"/>
    <w:rsid w:val="00E2007D"/>
    <w:rsid w:val="00E21575"/>
    <w:rsid w:val="00E2252F"/>
    <w:rsid w:val="00E23954"/>
    <w:rsid w:val="00E23970"/>
    <w:rsid w:val="00E23F69"/>
    <w:rsid w:val="00E24F96"/>
    <w:rsid w:val="00E25AC3"/>
    <w:rsid w:val="00E25B3D"/>
    <w:rsid w:val="00E25FDA"/>
    <w:rsid w:val="00E26122"/>
    <w:rsid w:val="00E26E91"/>
    <w:rsid w:val="00E27007"/>
    <w:rsid w:val="00E2703E"/>
    <w:rsid w:val="00E278DA"/>
    <w:rsid w:val="00E27CF9"/>
    <w:rsid w:val="00E305A6"/>
    <w:rsid w:val="00E318D0"/>
    <w:rsid w:val="00E31C01"/>
    <w:rsid w:val="00E32392"/>
    <w:rsid w:val="00E32D13"/>
    <w:rsid w:val="00E33C4D"/>
    <w:rsid w:val="00E35127"/>
    <w:rsid w:val="00E3612F"/>
    <w:rsid w:val="00E367DE"/>
    <w:rsid w:val="00E402FB"/>
    <w:rsid w:val="00E4082F"/>
    <w:rsid w:val="00E40908"/>
    <w:rsid w:val="00E4110C"/>
    <w:rsid w:val="00E41BDD"/>
    <w:rsid w:val="00E42D75"/>
    <w:rsid w:val="00E439C5"/>
    <w:rsid w:val="00E43F27"/>
    <w:rsid w:val="00E442E7"/>
    <w:rsid w:val="00E443BC"/>
    <w:rsid w:val="00E44C19"/>
    <w:rsid w:val="00E45150"/>
    <w:rsid w:val="00E4581F"/>
    <w:rsid w:val="00E46756"/>
    <w:rsid w:val="00E510D6"/>
    <w:rsid w:val="00E518A2"/>
    <w:rsid w:val="00E533C8"/>
    <w:rsid w:val="00E5394A"/>
    <w:rsid w:val="00E539CA"/>
    <w:rsid w:val="00E54362"/>
    <w:rsid w:val="00E545BC"/>
    <w:rsid w:val="00E5509A"/>
    <w:rsid w:val="00E560AC"/>
    <w:rsid w:val="00E568C5"/>
    <w:rsid w:val="00E57C81"/>
    <w:rsid w:val="00E60601"/>
    <w:rsid w:val="00E60960"/>
    <w:rsid w:val="00E60977"/>
    <w:rsid w:val="00E615FD"/>
    <w:rsid w:val="00E61F62"/>
    <w:rsid w:val="00E62D47"/>
    <w:rsid w:val="00E63F2A"/>
    <w:rsid w:val="00E653F6"/>
    <w:rsid w:val="00E65596"/>
    <w:rsid w:val="00E7193F"/>
    <w:rsid w:val="00E7197D"/>
    <w:rsid w:val="00E71BD4"/>
    <w:rsid w:val="00E71F8F"/>
    <w:rsid w:val="00E726AB"/>
    <w:rsid w:val="00E74675"/>
    <w:rsid w:val="00E74EF7"/>
    <w:rsid w:val="00E75A03"/>
    <w:rsid w:val="00E7623B"/>
    <w:rsid w:val="00E770BE"/>
    <w:rsid w:val="00E81E99"/>
    <w:rsid w:val="00E831F1"/>
    <w:rsid w:val="00E83687"/>
    <w:rsid w:val="00E83FF2"/>
    <w:rsid w:val="00E842A4"/>
    <w:rsid w:val="00E851D6"/>
    <w:rsid w:val="00E8564D"/>
    <w:rsid w:val="00E85BE6"/>
    <w:rsid w:val="00E85EEB"/>
    <w:rsid w:val="00E86B2F"/>
    <w:rsid w:val="00E86EF9"/>
    <w:rsid w:val="00E874B8"/>
    <w:rsid w:val="00E87BFA"/>
    <w:rsid w:val="00E87FA9"/>
    <w:rsid w:val="00E90321"/>
    <w:rsid w:val="00E90FC7"/>
    <w:rsid w:val="00E92CF0"/>
    <w:rsid w:val="00E92D1A"/>
    <w:rsid w:val="00E92ECF"/>
    <w:rsid w:val="00E9306E"/>
    <w:rsid w:val="00E93E3C"/>
    <w:rsid w:val="00E96548"/>
    <w:rsid w:val="00E9692A"/>
    <w:rsid w:val="00EA31A4"/>
    <w:rsid w:val="00EA3F4B"/>
    <w:rsid w:val="00EA464A"/>
    <w:rsid w:val="00EA4BC8"/>
    <w:rsid w:val="00EA4DDB"/>
    <w:rsid w:val="00EA531B"/>
    <w:rsid w:val="00EA5441"/>
    <w:rsid w:val="00EA62DB"/>
    <w:rsid w:val="00EA68CE"/>
    <w:rsid w:val="00EA781B"/>
    <w:rsid w:val="00EB320A"/>
    <w:rsid w:val="00EB326F"/>
    <w:rsid w:val="00EB3D8D"/>
    <w:rsid w:val="00EB42B2"/>
    <w:rsid w:val="00EB4DD5"/>
    <w:rsid w:val="00EB502E"/>
    <w:rsid w:val="00EB5810"/>
    <w:rsid w:val="00EB59EB"/>
    <w:rsid w:val="00EB6579"/>
    <w:rsid w:val="00EB6F62"/>
    <w:rsid w:val="00EB7C02"/>
    <w:rsid w:val="00EC1D1F"/>
    <w:rsid w:val="00EC216C"/>
    <w:rsid w:val="00EC25A2"/>
    <w:rsid w:val="00EC27F3"/>
    <w:rsid w:val="00EC33D8"/>
    <w:rsid w:val="00EC38CD"/>
    <w:rsid w:val="00EC521F"/>
    <w:rsid w:val="00EC5B29"/>
    <w:rsid w:val="00EC6440"/>
    <w:rsid w:val="00EC6BE8"/>
    <w:rsid w:val="00EC6C2F"/>
    <w:rsid w:val="00EC74A1"/>
    <w:rsid w:val="00EC7A5C"/>
    <w:rsid w:val="00ED0442"/>
    <w:rsid w:val="00ED0D0B"/>
    <w:rsid w:val="00ED1425"/>
    <w:rsid w:val="00ED23DF"/>
    <w:rsid w:val="00ED35F4"/>
    <w:rsid w:val="00ED499F"/>
    <w:rsid w:val="00ED52C8"/>
    <w:rsid w:val="00ED562F"/>
    <w:rsid w:val="00ED5977"/>
    <w:rsid w:val="00ED60FD"/>
    <w:rsid w:val="00ED6613"/>
    <w:rsid w:val="00ED6969"/>
    <w:rsid w:val="00ED722C"/>
    <w:rsid w:val="00ED7CE0"/>
    <w:rsid w:val="00EE0C53"/>
    <w:rsid w:val="00EE16DB"/>
    <w:rsid w:val="00EE2271"/>
    <w:rsid w:val="00EE292A"/>
    <w:rsid w:val="00EE2AA4"/>
    <w:rsid w:val="00EE37D6"/>
    <w:rsid w:val="00EE3802"/>
    <w:rsid w:val="00EE3EEA"/>
    <w:rsid w:val="00EE49ED"/>
    <w:rsid w:val="00EE680B"/>
    <w:rsid w:val="00EF1998"/>
    <w:rsid w:val="00EF3997"/>
    <w:rsid w:val="00EF3B48"/>
    <w:rsid w:val="00EF3F70"/>
    <w:rsid w:val="00EF5F5F"/>
    <w:rsid w:val="00EF6017"/>
    <w:rsid w:val="00EF60B8"/>
    <w:rsid w:val="00EF633F"/>
    <w:rsid w:val="00EF6868"/>
    <w:rsid w:val="00EF7C36"/>
    <w:rsid w:val="00F00ABC"/>
    <w:rsid w:val="00F01650"/>
    <w:rsid w:val="00F0268B"/>
    <w:rsid w:val="00F026F0"/>
    <w:rsid w:val="00F03B2F"/>
    <w:rsid w:val="00F04201"/>
    <w:rsid w:val="00F04388"/>
    <w:rsid w:val="00F0445A"/>
    <w:rsid w:val="00F04691"/>
    <w:rsid w:val="00F04B22"/>
    <w:rsid w:val="00F0556C"/>
    <w:rsid w:val="00F0612C"/>
    <w:rsid w:val="00F0629B"/>
    <w:rsid w:val="00F063A1"/>
    <w:rsid w:val="00F06439"/>
    <w:rsid w:val="00F06D8E"/>
    <w:rsid w:val="00F0717C"/>
    <w:rsid w:val="00F07764"/>
    <w:rsid w:val="00F077DA"/>
    <w:rsid w:val="00F125C4"/>
    <w:rsid w:val="00F12AE9"/>
    <w:rsid w:val="00F12F00"/>
    <w:rsid w:val="00F14064"/>
    <w:rsid w:val="00F147ED"/>
    <w:rsid w:val="00F14C31"/>
    <w:rsid w:val="00F14FBE"/>
    <w:rsid w:val="00F1693D"/>
    <w:rsid w:val="00F16D1F"/>
    <w:rsid w:val="00F171D4"/>
    <w:rsid w:val="00F1735A"/>
    <w:rsid w:val="00F17569"/>
    <w:rsid w:val="00F17E5D"/>
    <w:rsid w:val="00F212B5"/>
    <w:rsid w:val="00F215A5"/>
    <w:rsid w:val="00F222DE"/>
    <w:rsid w:val="00F23218"/>
    <w:rsid w:val="00F233A3"/>
    <w:rsid w:val="00F23503"/>
    <w:rsid w:val="00F23847"/>
    <w:rsid w:val="00F239F5"/>
    <w:rsid w:val="00F24AA0"/>
    <w:rsid w:val="00F2505A"/>
    <w:rsid w:val="00F254B3"/>
    <w:rsid w:val="00F25604"/>
    <w:rsid w:val="00F2564B"/>
    <w:rsid w:val="00F25691"/>
    <w:rsid w:val="00F25AB3"/>
    <w:rsid w:val="00F267B2"/>
    <w:rsid w:val="00F26848"/>
    <w:rsid w:val="00F26CCF"/>
    <w:rsid w:val="00F26D83"/>
    <w:rsid w:val="00F2778A"/>
    <w:rsid w:val="00F3022C"/>
    <w:rsid w:val="00F304C8"/>
    <w:rsid w:val="00F30E2E"/>
    <w:rsid w:val="00F32865"/>
    <w:rsid w:val="00F328CA"/>
    <w:rsid w:val="00F343C6"/>
    <w:rsid w:val="00F36E67"/>
    <w:rsid w:val="00F40194"/>
    <w:rsid w:val="00F404F6"/>
    <w:rsid w:val="00F40F4A"/>
    <w:rsid w:val="00F419EB"/>
    <w:rsid w:val="00F42E0C"/>
    <w:rsid w:val="00F43435"/>
    <w:rsid w:val="00F43B89"/>
    <w:rsid w:val="00F43CC6"/>
    <w:rsid w:val="00F44C18"/>
    <w:rsid w:val="00F454F3"/>
    <w:rsid w:val="00F46E9C"/>
    <w:rsid w:val="00F473E5"/>
    <w:rsid w:val="00F47BD7"/>
    <w:rsid w:val="00F5016C"/>
    <w:rsid w:val="00F51AEB"/>
    <w:rsid w:val="00F52319"/>
    <w:rsid w:val="00F52545"/>
    <w:rsid w:val="00F526D7"/>
    <w:rsid w:val="00F52A93"/>
    <w:rsid w:val="00F52C8C"/>
    <w:rsid w:val="00F5553D"/>
    <w:rsid w:val="00F5571C"/>
    <w:rsid w:val="00F55DF1"/>
    <w:rsid w:val="00F55F18"/>
    <w:rsid w:val="00F60058"/>
    <w:rsid w:val="00F60D9B"/>
    <w:rsid w:val="00F61280"/>
    <w:rsid w:val="00F61393"/>
    <w:rsid w:val="00F6356C"/>
    <w:rsid w:val="00F63F75"/>
    <w:rsid w:val="00F641FC"/>
    <w:rsid w:val="00F64635"/>
    <w:rsid w:val="00F64907"/>
    <w:rsid w:val="00F64DE7"/>
    <w:rsid w:val="00F65EA5"/>
    <w:rsid w:val="00F665F1"/>
    <w:rsid w:val="00F672D0"/>
    <w:rsid w:val="00F7138C"/>
    <w:rsid w:val="00F72439"/>
    <w:rsid w:val="00F72972"/>
    <w:rsid w:val="00F7299C"/>
    <w:rsid w:val="00F729BA"/>
    <w:rsid w:val="00F72B15"/>
    <w:rsid w:val="00F73B50"/>
    <w:rsid w:val="00F74E8C"/>
    <w:rsid w:val="00F7538C"/>
    <w:rsid w:val="00F75AB4"/>
    <w:rsid w:val="00F76AFA"/>
    <w:rsid w:val="00F76DC0"/>
    <w:rsid w:val="00F773A9"/>
    <w:rsid w:val="00F80192"/>
    <w:rsid w:val="00F80647"/>
    <w:rsid w:val="00F807C8"/>
    <w:rsid w:val="00F82432"/>
    <w:rsid w:val="00F827A5"/>
    <w:rsid w:val="00F82A8A"/>
    <w:rsid w:val="00F82CEC"/>
    <w:rsid w:val="00F83CD3"/>
    <w:rsid w:val="00F84245"/>
    <w:rsid w:val="00F842BD"/>
    <w:rsid w:val="00F84BD8"/>
    <w:rsid w:val="00F855E4"/>
    <w:rsid w:val="00F86B25"/>
    <w:rsid w:val="00F87D5A"/>
    <w:rsid w:val="00F90B35"/>
    <w:rsid w:val="00F93239"/>
    <w:rsid w:val="00F93BAF"/>
    <w:rsid w:val="00F94633"/>
    <w:rsid w:val="00F94AC1"/>
    <w:rsid w:val="00F9596E"/>
    <w:rsid w:val="00F9699D"/>
    <w:rsid w:val="00FA03A6"/>
    <w:rsid w:val="00FA0A4B"/>
    <w:rsid w:val="00FA147A"/>
    <w:rsid w:val="00FA222F"/>
    <w:rsid w:val="00FA287D"/>
    <w:rsid w:val="00FA33FD"/>
    <w:rsid w:val="00FA3B5E"/>
    <w:rsid w:val="00FA4A55"/>
    <w:rsid w:val="00FA51CF"/>
    <w:rsid w:val="00FA5A02"/>
    <w:rsid w:val="00FA5F52"/>
    <w:rsid w:val="00FA6562"/>
    <w:rsid w:val="00FA70F6"/>
    <w:rsid w:val="00FB02D8"/>
    <w:rsid w:val="00FB2018"/>
    <w:rsid w:val="00FB208C"/>
    <w:rsid w:val="00FB220E"/>
    <w:rsid w:val="00FB3896"/>
    <w:rsid w:val="00FB3C04"/>
    <w:rsid w:val="00FB473D"/>
    <w:rsid w:val="00FB5216"/>
    <w:rsid w:val="00FB557B"/>
    <w:rsid w:val="00FB6103"/>
    <w:rsid w:val="00FB62F1"/>
    <w:rsid w:val="00FB71EA"/>
    <w:rsid w:val="00FB76D8"/>
    <w:rsid w:val="00FC0224"/>
    <w:rsid w:val="00FC0896"/>
    <w:rsid w:val="00FC092E"/>
    <w:rsid w:val="00FC1250"/>
    <w:rsid w:val="00FC1D4B"/>
    <w:rsid w:val="00FC25B4"/>
    <w:rsid w:val="00FC2C6E"/>
    <w:rsid w:val="00FC4868"/>
    <w:rsid w:val="00FC554E"/>
    <w:rsid w:val="00FC6BFA"/>
    <w:rsid w:val="00FC74A1"/>
    <w:rsid w:val="00FC7A4D"/>
    <w:rsid w:val="00FD087D"/>
    <w:rsid w:val="00FD0A34"/>
    <w:rsid w:val="00FD16D0"/>
    <w:rsid w:val="00FD1A94"/>
    <w:rsid w:val="00FD2487"/>
    <w:rsid w:val="00FD2536"/>
    <w:rsid w:val="00FD35E0"/>
    <w:rsid w:val="00FD4688"/>
    <w:rsid w:val="00FD56FB"/>
    <w:rsid w:val="00FD691B"/>
    <w:rsid w:val="00FD73C3"/>
    <w:rsid w:val="00FE0082"/>
    <w:rsid w:val="00FE05A8"/>
    <w:rsid w:val="00FE10DB"/>
    <w:rsid w:val="00FE12D4"/>
    <w:rsid w:val="00FE223B"/>
    <w:rsid w:val="00FE2A75"/>
    <w:rsid w:val="00FE2B94"/>
    <w:rsid w:val="00FE6640"/>
    <w:rsid w:val="00FE6E4B"/>
    <w:rsid w:val="00FE7FFD"/>
    <w:rsid w:val="00FF090E"/>
    <w:rsid w:val="00FF1EDF"/>
    <w:rsid w:val="00FF3F3D"/>
    <w:rsid w:val="00FF46BF"/>
    <w:rsid w:val="00FF51CD"/>
    <w:rsid w:val="00FF561F"/>
    <w:rsid w:val="00FF6E56"/>
    <w:rsid w:val="00FF74F8"/>
    <w:rsid w:val="00FF75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49154">
      <o:colormenu v:ext="edit" fill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figures" w:uiPriority="99"/>
    <w:lsdException w:name="Title" w:qFormat="1"/>
    <w:lsdException w:name="Closing" w:uiPriority="99"/>
    <w:lsdException w:name="Subtitle" w:qFormat="1"/>
    <w:lsdException w:name="Body Text 3" w:uiPriority="99"/>
    <w:lsdException w:name="Hyperlink" w:uiPriority="99"/>
    <w:lsdException w:name="FollowedHyperlink" w:uiPriority="99"/>
    <w:lsdException w:name="Strong" w:qFormat="1"/>
    <w:lsdException w:name="Emphasis" w:qFormat="1"/>
    <w:lsdException w:name="Plain Text" w:uiPriority="99"/>
    <w:lsdException w:name="Normal (Web)" w:uiPriority="99"/>
    <w:lsdException w:name="No List" w:uiPriority="99"/>
    <w:lsdException w:name="Balloon Text" w:uiPriority="99"/>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1B0A"/>
    <w:rPr>
      <w:sz w:val="24"/>
      <w:szCs w:val="24"/>
      <w:lang w:val="en-US" w:eastAsia="en-US"/>
    </w:rPr>
  </w:style>
  <w:style w:type="paragraph" w:styleId="Heading1">
    <w:name w:val="heading 1"/>
    <w:aliases w:val="Section,Section Heading,Article Heading,HEADING 1,App1,EASI 1,Hoofdstuk,Heading 1-nonum"/>
    <w:basedOn w:val="Normal"/>
    <w:next w:val="Normal"/>
    <w:link w:val="Heading1Char"/>
    <w:qFormat/>
    <w:rsid w:val="004D4C04"/>
    <w:pPr>
      <w:keepNext/>
      <w:spacing w:before="240" w:after="60"/>
      <w:outlineLvl w:val="0"/>
    </w:pPr>
    <w:rPr>
      <w:rFonts w:ascii="Arial" w:hAnsi="Arial" w:cs="Arial"/>
      <w:b/>
      <w:bCs/>
      <w:kern w:val="32"/>
      <w:sz w:val="32"/>
      <w:szCs w:val="32"/>
    </w:rPr>
  </w:style>
  <w:style w:type="paragraph" w:styleId="Heading2">
    <w:name w:val="heading 2"/>
    <w:aliases w:val="2,Major"/>
    <w:basedOn w:val="Normal"/>
    <w:next w:val="Normal"/>
    <w:link w:val="Heading2Char"/>
    <w:qFormat/>
    <w:rsid w:val="00C15FB7"/>
    <w:pPr>
      <w:keepNext/>
      <w:spacing w:before="240" w:after="60"/>
      <w:outlineLvl w:val="1"/>
    </w:pPr>
    <w:rPr>
      <w:rFonts w:ascii="Arial" w:hAnsi="Arial" w:cs="Arial"/>
      <w:b/>
      <w:bCs/>
      <w:i/>
      <w:iCs/>
      <w:sz w:val="28"/>
      <w:szCs w:val="28"/>
    </w:rPr>
  </w:style>
  <w:style w:type="paragraph" w:styleId="Heading3">
    <w:name w:val="heading 3"/>
    <w:aliases w:val="Minor,level3"/>
    <w:basedOn w:val="Normal"/>
    <w:next w:val="Normal"/>
    <w:link w:val="Heading3Char"/>
    <w:qFormat/>
    <w:rsid w:val="000D4D4C"/>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960B2"/>
    <w:pPr>
      <w:keepNext/>
      <w:tabs>
        <w:tab w:val="num" w:pos="864"/>
      </w:tabs>
      <w:spacing w:before="240" w:after="60"/>
      <w:ind w:left="864" w:hanging="864"/>
      <w:outlineLvl w:val="3"/>
    </w:pPr>
    <w:rPr>
      <w:rFonts w:ascii="Calibri" w:hAnsi="Calibri"/>
      <w:b/>
      <w:bCs/>
      <w:sz w:val="28"/>
      <w:szCs w:val="28"/>
      <w:lang w:val="en-GB"/>
    </w:rPr>
  </w:style>
  <w:style w:type="paragraph" w:styleId="Heading5">
    <w:name w:val="heading 5"/>
    <w:basedOn w:val="Normal"/>
    <w:next w:val="Normal"/>
    <w:link w:val="Heading5Char"/>
    <w:qFormat/>
    <w:rsid w:val="00B960B2"/>
    <w:pPr>
      <w:tabs>
        <w:tab w:val="num" w:pos="1008"/>
      </w:tabs>
      <w:spacing w:before="240" w:after="60" w:line="312" w:lineRule="auto"/>
      <w:ind w:left="1008" w:hanging="1008"/>
      <w:jc w:val="both"/>
      <w:outlineLvl w:val="4"/>
    </w:pPr>
    <w:rPr>
      <w:rFonts w:ascii="Book Antiqua" w:hAnsi="Book Antiqua"/>
      <w:b/>
      <w:bCs/>
      <w:i/>
      <w:iCs/>
      <w:sz w:val="22"/>
      <w:szCs w:val="22"/>
    </w:rPr>
  </w:style>
  <w:style w:type="paragraph" w:styleId="Heading6">
    <w:name w:val="heading 6"/>
    <w:basedOn w:val="Normal"/>
    <w:next w:val="Normal"/>
    <w:link w:val="Heading6Char"/>
    <w:qFormat/>
    <w:rsid w:val="00B960B2"/>
    <w:pPr>
      <w:tabs>
        <w:tab w:val="num" w:pos="1152"/>
      </w:tabs>
      <w:spacing w:before="240" w:after="60" w:line="312" w:lineRule="auto"/>
      <w:ind w:left="1152" w:hanging="1152"/>
      <w:jc w:val="both"/>
      <w:outlineLvl w:val="5"/>
    </w:pPr>
    <w:rPr>
      <w:rFonts w:ascii="Book Antiqua" w:hAnsi="Book Antiqua"/>
      <w:i/>
      <w:iCs/>
      <w:sz w:val="22"/>
      <w:szCs w:val="22"/>
    </w:rPr>
  </w:style>
  <w:style w:type="paragraph" w:styleId="Heading7">
    <w:name w:val="heading 7"/>
    <w:basedOn w:val="Normal"/>
    <w:next w:val="Normal"/>
    <w:link w:val="Heading7Char"/>
    <w:qFormat/>
    <w:rsid w:val="00B960B2"/>
    <w:pPr>
      <w:tabs>
        <w:tab w:val="num" w:pos="1296"/>
      </w:tabs>
      <w:spacing w:before="240" w:after="60" w:line="312" w:lineRule="auto"/>
      <w:ind w:left="1296" w:hanging="1296"/>
      <w:jc w:val="both"/>
      <w:outlineLvl w:val="6"/>
    </w:pPr>
    <w:rPr>
      <w:rFonts w:ascii="Arial" w:hAnsi="Arial" w:cs="Arial"/>
      <w:sz w:val="20"/>
      <w:szCs w:val="20"/>
    </w:rPr>
  </w:style>
  <w:style w:type="paragraph" w:styleId="Heading8">
    <w:name w:val="heading 8"/>
    <w:basedOn w:val="Normal"/>
    <w:next w:val="Normal"/>
    <w:link w:val="Heading8Char"/>
    <w:qFormat/>
    <w:rsid w:val="00B960B2"/>
    <w:pPr>
      <w:tabs>
        <w:tab w:val="num" w:pos="1440"/>
      </w:tabs>
      <w:spacing w:before="240" w:after="60" w:line="312" w:lineRule="auto"/>
      <w:ind w:left="1440" w:hanging="1440"/>
      <w:jc w:val="both"/>
      <w:outlineLvl w:val="7"/>
    </w:pPr>
    <w:rPr>
      <w:rFonts w:ascii="Arial" w:hAnsi="Arial" w:cs="Arial"/>
      <w:i/>
      <w:iCs/>
      <w:sz w:val="20"/>
      <w:szCs w:val="20"/>
    </w:rPr>
  </w:style>
  <w:style w:type="paragraph" w:styleId="Heading9">
    <w:name w:val="heading 9"/>
    <w:basedOn w:val="Normal"/>
    <w:next w:val="Normal"/>
    <w:link w:val="Heading9Char"/>
    <w:qFormat/>
    <w:rsid w:val="00B960B2"/>
    <w:pPr>
      <w:tabs>
        <w:tab w:val="num" w:pos="1584"/>
      </w:tabs>
      <w:spacing w:before="240" w:after="60" w:line="312" w:lineRule="auto"/>
      <w:ind w:left="1584" w:hanging="1584"/>
      <w:jc w:val="both"/>
      <w:outlineLvl w:val="8"/>
    </w:pPr>
    <w:rPr>
      <w:rFonts w:ascii="Arial" w:hAnsi="Arial" w:cs="Arial"/>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qFormat/>
    <w:rsid w:val="004D4C04"/>
  </w:style>
  <w:style w:type="character" w:styleId="Hyperlink">
    <w:name w:val="Hyperlink"/>
    <w:basedOn w:val="DefaultParagraphFont"/>
    <w:uiPriority w:val="99"/>
    <w:rsid w:val="004D4C04"/>
    <w:rPr>
      <w:color w:val="0000FF"/>
      <w:u w:val="single"/>
    </w:rPr>
  </w:style>
  <w:style w:type="paragraph" w:styleId="Header">
    <w:name w:val="header"/>
    <w:basedOn w:val="Normal"/>
    <w:link w:val="HeaderChar"/>
    <w:uiPriority w:val="99"/>
    <w:rsid w:val="004C4AA4"/>
    <w:pPr>
      <w:tabs>
        <w:tab w:val="center" w:pos="4320"/>
        <w:tab w:val="right" w:pos="8640"/>
      </w:tabs>
    </w:pPr>
  </w:style>
  <w:style w:type="paragraph" w:styleId="Footer">
    <w:name w:val="footer"/>
    <w:basedOn w:val="Normal"/>
    <w:link w:val="FooterChar"/>
    <w:uiPriority w:val="99"/>
    <w:rsid w:val="004C4AA4"/>
    <w:pPr>
      <w:tabs>
        <w:tab w:val="center" w:pos="4320"/>
        <w:tab w:val="right" w:pos="8640"/>
      </w:tabs>
    </w:pPr>
  </w:style>
  <w:style w:type="character" w:styleId="PageNumber">
    <w:name w:val="page number"/>
    <w:basedOn w:val="DefaultParagraphFont"/>
    <w:rsid w:val="004C4AA4"/>
  </w:style>
  <w:style w:type="paragraph" w:styleId="Caption">
    <w:name w:val="caption"/>
    <w:basedOn w:val="Normal"/>
    <w:next w:val="Normal"/>
    <w:qFormat/>
    <w:rsid w:val="001A6DDF"/>
    <w:pPr>
      <w:spacing w:before="120" w:after="120"/>
    </w:pPr>
    <w:rPr>
      <w:rFonts w:ascii="Arial" w:hAnsi="Arial"/>
      <w:sz w:val="20"/>
      <w:szCs w:val="20"/>
      <w:lang w:val="en-GB"/>
    </w:rPr>
  </w:style>
  <w:style w:type="paragraph" w:styleId="BodyText2">
    <w:name w:val="Body Text 2"/>
    <w:basedOn w:val="Normal"/>
    <w:link w:val="BodyText2Char"/>
    <w:rsid w:val="001A6DDF"/>
    <w:pPr>
      <w:spacing w:before="120" w:after="120"/>
    </w:pPr>
    <w:rPr>
      <w:rFonts w:ascii="Arial" w:hAnsi="Arial"/>
      <w:sz w:val="44"/>
      <w:szCs w:val="20"/>
    </w:rPr>
  </w:style>
  <w:style w:type="paragraph" w:customStyle="1" w:styleId="ARR-normalbody">
    <w:name w:val="ARR - normal body"/>
    <w:basedOn w:val="BodyText"/>
    <w:autoRedefine/>
    <w:rsid w:val="000C2942"/>
    <w:pPr>
      <w:tabs>
        <w:tab w:val="left" w:pos="450"/>
      </w:tabs>
      <w:spacing w:before="120" w:after="240" w:line="360" w:lineRule="auto"/>
      <w:ind w:left="450"/>
      <w:jc w:val="both"/>
    </w:pPr>
    <w:rPr>
      <w:rFonts w:ascii="Arial" w:hAnsi="Arial" w:cs="Arial"/>
      <w:sz w:val="22"/>
      <w:szCs w:val="22"/>
      <w:lang w:val="en-GB"/>
    </w:rPr>
  </w:style>
  <w:style w:type="paragraph" w:styleId="BodyText">
    <w:name w:val="Body Text"/>
    <w:basedOn w:val="Normal"/>
    <w:link w:val="BodyTextChar"/>
    <w:rsid w:val="001A6DDF"/>
    <w:pPr>
      <w:spacing w:after="120"/>
    </w:pPr>
  </w:style>
  <w:style w:type="table" w:styleId="TableGrid">
    <w:name w:val="Table Grid"/>
    <w:basedOn w:val="TableNormal"/>
    <w:uiPriority w:val="59"/>
    <w:rsid w:val="000225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5">
    <w:name w:val="xl55"/>
    <w:basedOn w:val="Normal"/>
    <w:rsid w:val="00251B0E"/>
    <w:pPr>
      <w:pBdr>
        <w:right w:val="single" w:sz="8" w:space="0" w:color="auto"/>
      </w:pBdr>
      <w:spacing w:before="100" w:beforeAutospacing="1" w:after="100" w:afterAutospacing="1"/>
      <w:jc w:val="both"/>
    </w:pPr>
    <w:rPr>
      <w:rFonts w:ascii="Arial" w:eastAsia="Arial Unicode MS" w:hAnsi="Arial" w:cs="Arial"/>
      <w:sz w:val="20"/>
      <w:szCs w:val="20"/>
    </w:rPr>
  </w:style>
  <w:style w:type="table" w:styleId="TableGrid8">
    <w:name w:val="Table Grid 8"/>
    <w:aliases w:val="Table Grid s"/>
    <w:basedOn w:val="TableNormal"/>
    <w:rsid w:val="004E00CB"/>
    <w:pPr>
      <w:spacing w:before="120" w:after="12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15" w:type="dxa"/>
        <w:bottom w:w="0" w:type="dxa"/>
        <w:right w:w="115" w:type="dxa"/>
      </w:tblCellMar>
    </w:tblPr>
    <w:tcPr>
      <w:shd w:val="clear" w:color="auto" w:fill="FFFFFF"/>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ListNumber">
    <w:name w:val="List Number"/>
    <w:aliases w:val="List Number Char Char Char Char Char1,List Number Char Char Char Char Char Char Char Char Char Char Char Char Char Char Char Char Char Char Char Char Char1,List Number11"/>
    <w:basedOn w:val="Normal"/>
    <w:rsid w:val="005924C0"/>
    <w:pPr>
      <w:tabs>
        <w:tab w:val="num" w:pos="360"/>
        <w:tab w:val="left" w:pos="720"/>
      </w:tabs>
      <w:spacing w:before="120" w:after="180"/>
      <w:ind w:left="360" w:hanging="360"/>
    </w:pPr>
    <w:rPr>
      <w:rFonts w:ascii="Arial" w:hAnsi="Arial"/>
      <w:sz w:val="20"/>
      <w:szCs w:val="20"/>
      <w:lang w:val="en-GB"/>
    </w:rPr>
  </w:style>
  <w:style w:type="character" w:customStyle="1" w:styleId="ListNumber2">
    <w:name w:val="List Number2"/>
    <w:aliases w:val="List Number Char Char Char Char Char11,List Number Char Char Char Char Char Char Char Char Char Char Char Char Char Char Char Char Char Char Char Char Char11,List Number11 Char"/>
    <w:basedOn w:val="DefaultParagraphFont"/>
    <w:rsid w:val="005924C0"/>
    <w:rPr>
      <w:rFonts w:ascii="Arial" w:hAnsi="Arial"/>
      <w:lang w:val="en-GB" w:eastAsia="en-US" w:bidi="ar-SA"/>
    </w:rPr>
  </w:style>
  <w:style w:type="paragraph" w:customStyle="1" w:styleId="PwcUttaranchalNormalTextFinalCharChar">
    <w:name w:val="Pwc Uttaranchal Normal Text Final Char Char"/>
    <w:basedOn w:val="BodyText"/>
    <w:rsid w:val="002A45DF"/>
    <w:pPr>
      <w:tabs>
        <w:tab w:val="left" w:pos="720"/>
        <w:tab w:val="left" w:pos="2992"/>
        <w:tab w:val="left" w:pos="3060"/>
        <w:tab w:val="left" w:pos="3179"/>
      </w:tabs>
      <w:spacing w:after="240" w:line="360" w:lineRule="auto"/>
      <w:jc w:val="both"/>
    </w:pPr>
    <w:rPr>
      <w:rFonts w:ascii="Arial" w:hAnsi="Arial" w:cs="Arial"/>
    </w:rPr>
  </w:style>
  <w:style w:type="paragraph" w:styleId="BalloonText">
    <w:name w:val="Balloon Text"/>
    <w:basedOn w:val="Normal"/>
    <w:link w:val="BalloonTextChar"/>
    <w:uiPriority w:val="99"/>
    <w:semiHidden/>
    <w:rsid w:val="00131CCB"/>
    <w:rPr>
      <w:rFonts w:ascii="Tahoma" w:hAnsi="Tahoma" w:cs="Tahoma"/>
      <w:sz w:val="16"/>
      <w:szCs w:val="16"/>
    </w:rPr>
  </w:style>
  <w:style w:type="paragraph" w:styleId="Title">
    <w:name w:val="Title"/>
    <w:basedOn w:val="Normal"/>
    <w:link w:val="TitleChar"/>
    <w:qFormat/>
    <w:rsid w:val="00F72972"/>
    <w:pPr>
      <w:spacing w:before="240" w:after="60"/>
      <w:jc w:val="center"/>
      <w:outlineLvl w:val="0"/>
    </w:pPr>
    <w:rPr>
      <w:rFonts w:ascii="Arial" w:hAnsi="Arial"/>
      <w:b/>
      <w:kern w:val="28"/>
      <w:sz w:val="32"/>
      <w:szCs w:val="20"/>
      <w:lang w:val="en-GB"/>
    </w:rPr>
  </w:style>
  <w:style w:type="character" w:customStyle="1" w:styleId="Heading2Char">
    <w:name w:val="Heading 2 Char"/>
    <w:aliases w:val="2 Char,Major Char"/>
    <w:basedOn w:val="DefaultParagraphFont"/>
    <w:link w:val="Heading2"/>
    <w:rsid w:val="00D054F6"/>
    <w:rPr>
      <w:rFonts w:ascii="Arial" w:hAnsi="Arial" w:cs="Arial"/>
      <w:b/>
      <w:bCs/>
      <w:i/>
      <w:iCs/>
      <w:sz w:val="28"/>
      <w:szCs w:val="28"/>
      <w:lang w:val="en-US" w:eastAsia="en-US" w:bidi="ar-SA"/>
    </w:rPr>
  </w:style>
  <w:style w:type="character" w:styleId="FollowedHyperlink">
    <w:name w:val="FollowedHyperlink"/>
    <w:basedOn w:val="DefaultParagraphFont"/>
    <w:uiPriority w:val="99"/>
    <w:rsid w:val="004D5303"/>
    <w:rPr>
      <w:color w:val="800080"/>
      <w:u w:val="single"/>
    </w:rPr>
  </w:style>
  <w:style w:type="paragraph" w:styleId="NormalWeb">
    <w:name w:val="Normal (Web)"/>
    <w:basedOn w:val="Normal"/>
    <w:uiPriority w:val="99"/>
    <w:rsid w:val="004D5303"/>
    <w:pPr>
      <w:spacing w:before="100" w:beforeAutospacing="1" w:after="100" w:afterAutospacing="1"/>
    </w:pPr>
  </w:style>
  <w:style w:type="paragraph" w:styleId="TOC2">
    <w:name w:val="toc 2"/>
    <w:basedOn w:val="Normal"/>
    <w:next w:val="Normal"/>
    <w:autoRedefine/>
    <w:uiPriority w:val="39"/>
    <w:qFormat/>
    <w:rsid w:val="00401F48"/>
    <w:pPr>
      <w:ind w:left="240"/>
    </w:pPr>
  </w:style>
  <w:style w:type="paragraph" w:styleId="TOC3">
    <w:name w:val="toc 3"/>
    <w:basedOn w:val="Normal"/>
    <w:next w:val="Normal"/>
    <w:autoRedefine/>
    <w:uiPriority w:val="39"/>
    <w:qFormat/>
    <w:rsid w:val="00401F48"/>
    <w:pPr>
      <w:ind w:left="480"/>
    </w:pPr>
  </w:style>
  <w:style w:type="paragraph" w:styleId="ListParagraph">
    <w:name w:val="List Paragraph"/>
    <w:aliases w:val="Resume Title,Citation List,heading 4,Graphic,List Paragraph1,1st level - Bullet List Paragraph,Lettre d'introduction,Paragrafo elenco,Bullet list,C-Change,List Paragraph_Table bullets,Ha,Lower Heading 4,Bullets1,CBS List Item 2,References"/>
    <w:basedOn w:val="Normal"/>
    <w:link w:val="ListParagraphChar"/>
    <w:uiPriority w:val="1"/>
    <w:qFormat/>
    <w:rsid w:val="00FB3896"/>
    <w:pPr>
      <w:spacing w:after="200" w:line="276" w:lineRule="auto"/>
      <w:ind w:left="720"/>
      <w:contextualSpacing/>
    </w:pPr>
    <w:rPr>
      <w:rFonts w:ascii="Calibri" w:eastAsia="Calibri" w:hAnsi="Calibri"/>
      <w:sz w:val="22"/>
      <w:szCs w:val="22"/>
    </w:rPr>
  </w:style>
  <w:style w:type="paragraph" w:customStyle="1" w:styleId="Level11">
    <w:name w:val="Level 1.1"/>
    <w:aliases w:val="Reports"/>
    <w:basedOn w:val="Normal"/>
    <w:next w:val="Normal"/>
    <w:rsid w:val="00477C2E"/>
    <w:pPr>
      <w:autoSpaceDE w:val="0"/>
      <w:autoSpaceDN w:val="0"/>
      <w:adjustRightInd w:val="0"/>
    </w:pPr>
    <w:rPr>
      <w:rFonts w:ascii="HFKACP+TimesNewRoman" w:hAnsi="HFKACP+TimesNewRoman"/>
      <w:lang w:val="en-IN" w:eastAsia="en-IN"/>
    </w:rPr>
  </w:style>
  <w:style w:type="paragraph" w:styleId="NoSpacing">
    <w:name w:val="No Spacing"/>
    <w:qFormat/>
    <w:rsid w:val="008307B8"/>
    <w:rPr>
      <w:rFonts w:ascii="Calibri" w:eastAsia="Calibri" w:hAnsi="Calibri"/>
      <w:sz w:val="22"/>
      <w:szCs w:val="22"/>
      <w:lang w:eastAsia="en-US"/>
    </w:rPr>
  </w:style>
  <w:style w:type="character" w:customStyle="1" w:styleId="BalloonTextChar">
    <w:name w:val="Balloon Text Char"/>
    <w:basedOn w:val="DefaultParagraphFont"/>
    <w:link w:val="BalloonText"/>
    <w:uiPriority w:val="99"/>
    <w:semiHidden/>
    <w:rsid w:val="008307B8"/>
    <w:rPr>
      <w:rFonts w:ascii="Tahoma" w:hAnsi="Tahoma" w:cs="Tahoma"/>
      <w:sz w:val="16"/>
      <w:szCs w:val="16"/>
      <w:lang w:val="en-US" w:eastAsia="en-US"/>
    </w:rPr>
  </w:style>
  <w:style w:type="paragraph" w:customStyle="1" w:styleId="Default">
    <w:name w:val="Default"/>
    <w:rsid w:val="00477922"/>
    <w:pPr>
      <w:autoSpaceDE w:val="0"/>
      <w:autoSpaceDN w:val="0"/>
      <w:adjustRightInd w:val="0"/>
    </w:pPr>
    <w:rPr>
      <w:rFonts w:ascii="Bookman Old Style" w:hAnsi="Bookman Old Style" w:cs="Bookman Old Style"/>
      <w:color w:val="000000"/>
      <w:sz w:val="24"/>
      <w:szCs w:val="24"/>
    </w:rPr>
  </w:style>
  <w:style w:type="character" w:customStyle="1" w:styleId="BodyTextChar">
    <w:name w:val="Body Text Char"/>
    <w:basedOn w:val="DefaultParagraphFont"/>
    <w:link w:val="BodyText"/>
    <w:rsid w:val="003875A8"/>
    <w:rPr>
      <w:sz w:val="24"/>
      <w:szCs w:val="24"/>
      <w:lang w:val="en-US" w:eastAsia="en-US"/>
    </w:rPr>
  </w:style>
  <w:style w:type="character" w:customStyle="1" w:styleId="Heading1Char">
    <w:name w:val="Heading 1 Char"/>
    <w:aliases w:val="Section Char,Section Heading Char,Article Heading Char,HEADING 1 Char,App1 Char,EASI 1 Char,Hoofdstuk Char,Heading 1-nonum Char"/>
    <w:basedOn w:val="DefaultParagraphFont"/>
    <w:link w:val="Heading1"/>
    <w:rsid w:val="003875A8"/>
    <w:rPr>
      <w:rFonts w:ascii="Arial" w:hAnsi="Arial" w:cs="Arial"/>
      <w:b/>
      <w:bCs/>
      <w:kern w:val="32"/>
      <w:sz w:val="32"/>
      <w:szCs w:val="32"/>
      <w:lang w:val="en-US" w:eastAsia="en-US"/>
    </w:rPr>
  </w:style>
  <w:style w:type="character" w:customStyle="1" w:styleId="BodyText2Char">
    <w:name w:val="Body Text 2 Char"/>
    <w:basedOn w:val="DefaultParagraphFont"/>
    <w:link w:val="BodyText2"/>
    <w:rsid w:val="00920FF5"/>
    <w:rPr>
      <w:rFonts w:ascii="Arial" w:hAnsi="Arial"/>
      <w:sz w:val="44"/>
      <w:lang w:val="en-US" w:eastAsia="en-US"/>
    </w:rPr>
  </w:style>
  <w:style w:type="paragraph" w:styleId="TOC4">
    <w:name w:val="toc 4"/>
    <w:basedOn w:val="Normal"/>
    <w:next w:val="Normal"/>
    <w:autoRedefine/>
    <w:uiPriority w:val="39"/>
    <w:unhideWhenUsed/>
    <w:rsid w:val="00FB473D"/>
    <w:pPr>
      <w:spacing w:after="100" w:line="276" w:lineRule="auto"/>
      <w:ind w:left="660"/>
    </w:pPr>
    <w:rPr>
      <w:rFonts w:ascii="Calibri" w:hAnsi="Calibri"/>
      <w:sz w:val="22"/>
      <w:szCs w:val="22"/>
      <w:lang w:val="en-IN" w:eastAsia="en-IN"/>
    </w:rPr>
  </w:style>
  <w:style w:type="paragraph" w:styleId="TOC5">
    <w:name w:val="toc 5"/>
    <w:basedOn w:val="Normal"/>
    <w:next w:val="Normal"/>
    <w:autoRedefine/>
    <w:uiPriority w:val="39"/>
    <w:unhideWhenUsed/>
    <w:rsid w:val="00FB473D"/>
    <w:pPr>
      <w:spacing w:after="100" w:line="276" w:lineRule="auto"/>
      <w:ind w:left="880"/>
    </w:pPr>
    <w:rPr>
      <w:rFonts w:ascii="Calibri" w:hAnsi="Calibri"/>
      <w:sz w:val="22"/>
      <w:szCs w:val="22"/>
      <w:lang w:val="en-IN" w:eastAsia="en-IN"/>
    </w:rPr>
  </w:style>
  <w:style w:type="paragraph" w:styleId="TOC6">
    <w:name w:val="toc 6"/>
    <w:basedOn w:val="Normal"/>
    <w:next w:val="Normal"/>
    <w:autoRedefine/>
    <w:uiPriority w:val="39"/>
    <w:unhideWhenUsed/>
    <w:rsid w:val="00FB473D"/>
    <w:pPr>
      <w:spacing w:after="100" w:line="276" w:lineRule="auto"/>
      <w:ind w:left="1100"/>
    </w:pPr>
    <w:rPr>
      <w:rFonts w:ascii="Calibri" w:hAnsi="Calibri"/>
      <w:sz w:val="22"/>
      <w:szCs w:val="22"/>
      <w:lang w:val="en-IN" w:eastAsia="en-IN"/>
    </w:rPr>
  </w:style>
  <w:style w:type="paragraph" w:styleId="TOC7">
    <w:name w:val="toc 7"/>
    <w:basedOn w:val="Normal"/>
    <w:next w:val="Normal"/>
    <w:autoRedefine/>
    <w:uiPriority w:val="39"/>
    <w:unhideWhenUsed/>
    <w:rsid w:val="00FB473D"/>
    <w:pPr>
      <w:spacing w:after="100" w:line="276" w:lineRule="auto"/>
      <w:ind w:left="1320"/>
    </w:pPr>
    <w:rPr>
      <w:rFonts w:ascii="Calibri" w:hAnsi="Calibri"/>
      <w:sz w:val="22"/>
      <w:szCs w:val="22"/>
      <w:lang w:val="en-IN" w:eastAsia="en-IN"/>
    </w:rPr>
  </w:style>
  <w:style w:type="paragraph" w:styleId="TOC8">
    <w:name w:val="toc 8"/>
    <w:basedOn w:val="Normal"/>
    <w:next w:val="Normal"/>
    <w:autoRedefine/>
    <w:uiPriority w:val="39"/>
    <w:unhideWhenUsed/>
    <w:rsid w:val="00FB473D"/>
    <w:pPr>
      <w:spacing w:after="100" w:line="276" w:lineRule="auto"/>
      <w:ind w:left="1540"/>
    </w:pPr>
    <w:rPr>
      <w:rFonts w:ascii="Calibri" w:hAnsi="Calibri"/>
      <w:sz w:val="22"/>
      <w:szCs w:val="22"/>
      <w:lang w:val="en-IN" w:eastAsia="en-IN"/>
    </w:rPr>
  </w:style>
  <w:style w:type="paragraph" w:styleId="TOC9">
    <w:name w:val="toc 9"/>
    <w:basedOn w:val="Normal"/>
    <w:next w:val="Normal"/>
    <w:autoRedefine/>
    <w:uiPriority w:val="39"/>
    <w:unhideWhenUsed/>
    <w:rsid w:val="00FB473D"/>
    <w:pPr>
      <w:spacing w:after="100" w:line="276" w:lineRule="auto"/>
      <w:ind w:left="1760"/>
    </w:pPr>
    <w:rPr>
      <w:rFonts w:ascii="Calibri" w:hAnsi="Calibri"/>
      <w:sz w:val="22"/>
      <w:szCs w:val="22"/>
      <w:lang w:val="en-IN" w:eastAsia="en-IN"/>
    </w:rPr>
  </w:style>
  <w:style w:type="character" w:customStyle="1" w:styleId="ListParagraphChar">
    <w:name w:val="List Paragraph Char"/>
    <w:aliases w:val="Resume Title Char,Citation List Char,heading 4 Char,Graphic Char,List Paragraph1 Char,1st level - Bullet List Paragraph Char,Lettre d'introduction Char,Paragrafo elenco Char,Bullet list Char,C-Change Char,Ha Char,Lower Heading 4 Char"/>
    <w:basedOn w:val="DefaultParagraphFont"/>
    <w:link w:val="ListParagraph"/>
    <w:uiPriority w:val="34"/>
    <w:qFormat/>
    <w:rsid w:val="007103C1"/>
    <w:rPr>
      <w:rFonts w:ascii="Calibri" w:eastAsia="Calibri" w:hAnsi="Calibri"/>
      <w:sz w:val="22"/>
      <w:szCs w:val="22"/>
    </w:rPr>
  </w:style>
  <w:style w:type="character" w:styleId="CommentReference">
    <w:name w:val="annotation reference"/>
    <w:basedOn w:val="DefaultParagraphFont"/>
    <w:rsid w:val="00D77FDF"/>
    <w:rPr>
      <w:sz w:val="16"/>
      <w:szCs w:val="16"/>
    </w:rPr>
  </w:style>
  <w:style w:type="paragraph" w:styleId="CommentText">
    <w:name w:val="annotation text"/>
    <w:basedOn w:val="Normal"/>
    <w:link w:val="CommentTextChar"/>
    <w:rsid w:val="00D77FDF"/>
    <w:rPr>
      <w:sz w:val="20"/>
      <w:szCs w:val="20"/>
    </w:rPr>
  </w:style>
  <w:style w:type="character" w:customStyle="1" w:styleId="CommentTextChar">
    <w:name w:val="Comment Text Char"/>
    <w:basedOn w:val="DefaultParagraphFont"/>
    <w:link w:val="CommentText"/>
    <w:rsid w:val="00D77FDF"/>
    <w:rPr>
      <w:lang w:val="en-US" w:eastAsia="en-US"/>
    </w:rPr>
  </w:style>
  <w:style w:type="paragraph" w:styleId="CommentSubject">
    <w:name w:val="annotation subject"/>
    <w:basedOn w:val="CommentText"/>
    <w:next w:val="CommentText"/>
    <w:link w:val="CommentSubjectChar"/>
    <w:rsid w:val="00D77FDF"/>
    <w:rPr>
      <w:b/>
      <w:bCs/>
    </w:rPr>
  </w:style>
  <w:style w:type="character" w:customStyle="1" w:styleId="CommentSubjectChar">
    <w:name w:val="Comment Subject Char"/>
    <w:basedOn w:val="CommentTextChar"/>
    <w:link w:val="CommentSubject"/>
    <w:rsid w:val="00D77FDF"/>
    <w:rPr>
      <w:b/>
      <w:bCs/>
    </w:rPr>
  </w:style>
  <w:style w:type="paragraph" w:styleId="PlainText">
    <w:name w:val="Plain Text"/>
    <w:basedOn w:val="Normal"/>
    <w:link w:val="PlainTextChar"/>
    <w:uiPriority w:val="99"/>
    <w:unhideWhenUsed/>
    <w:rsid w:val="00B60A4B"/>
    <w:rPr>
      <w:rFonts w:ascii="Calibri" w:eastAsia="Calibri" w:hAnsi="Calibri"/>
      <w:sz w:val="22"/>
      <w:szCs w:val="21"/>
    </w:rPr>
  </w:style>
  <w:style w:type="character" w:customStyle="1" w:styleId="PlainTextChar">
    <w:name w:val="Plain Text Char"/>
    <w:basedOn w:val="DefaultParagraphFont"/>
    <w:link w:val="PlainText"/>
    <w:uiPriority w:val="99"/>
    <w:rsid w:val="00B60A4B"/>
    <w:rPr>
      <w:rFonts w:ascii="Calibri" w:eastAsia="Calibri" w:hAnsi="Calibri" w:cs="Times New Roman"/>
      <w:sz w:val="22"/>
      <w:szCs w:val="21"/>
      <w:lang w:val="en-US" w:eastAsia="en-US"/>
    </w:rPr>
  </w:style>
  <w:style w:type="character" w:customStyle="1" w:styleId="apple-converted-space">
    <w:name w:val="apple-converted-space"/>
    <w:basedOn w:val="DefaultParagraphFont"/>
    <w:rsid w:val="00FB220E"/>
  </w:style>
  <w:style w:type="paragraph" w:styleId="DocumentMap">
    <w:name w:val="Document Map"/>
    <w:basedOn w:val="Normal"/>
    <w:link w:val="DocumentMapChar"/>
    <w:rsid w:val="004D47E6"/>
    <w:rPr>
      <w:rFonts w:ascii="Tahoma" w:hAnsi="Tahoma" w:cs="Tahoma"/>
      <w:sz w:val="16"/>
      <w:szCs w:val="16"/>
    </w:rPr>
  </w:style>
  <w:style w:type="character" w:customStyle="1" w:styleId="DocumentMapChar">
    <w:name w:val="Document Map Char"/>
    <w:basedOn w:val="DefaultParagraphFont"/>
    <w:link w:val="DocumentMap"/>
    <w:rsid w:val="004D47E6"/>
    <w:rPr>
      <w:rFonts w:ascii="Tahoma" w:hAnsi="Tahoma" w:cs="Tahoma"/>
      <w:sz w:val="16"/>
      <w:szCs w:val="16"/>
    </w:rPr>
  </w:style>
  <w:style w:type="paragraph" w:customStyle="1" w:styleId="font5">
    <w:name w:val="font5"/>
    <w:basedOn w:val="Normal"/>
    <w:rsid w:val="00035F47"/>
    <w:pPr>
      <w:spacing w:before="100" w:beforeAutospacing="1" w:after="100" w:afterAutospacing="1"/>
    </w:pPr>
    <w:rPr>
      <w:rFonts w:ascii="Tahoma" w:hAnsi="Tahoma" w:cs="Tahoma"/>
      <w:b/>
      <w:bCs/>
      <w:color w:val="000000"/>
      <w:sz w:val="16"/>
      <w:szCs w:val="16"/>
      <w:lang w:val="en-IN" w:eastAsia="en-IN"/>
    </w:rPr>
  </w:style>
  <w:style w:type="paragraph" w:customStyle="1" w:styleId="xl65">
    <w:name w:val="xl65"/>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hAnsi="Arial Narrow"/>
      <w:sz w:val="20"/>
      <w:szCs w:val="20"/>
      <w:lang w:val="en-IN" w:eastAsia="en-IN"/>
    </w:rPr>
  </w:style>
  <w:style w:type="paragraph" w:customStyle="1" w:styleId="xl66">
    <w:name w:val="xl66"/>
    <w:basedOn w:val="Normal"/>
    <w:rsid w:val="00035F47"/>
    <w:pPr>
      <w:spacing w:before="100" w:beforeAutospacing="1" w:after="100" w:afterAutospacing="1"/>
    </w:pPr>
    <w:rPr>
      <w:rFonts w:ascii="Arial Narrow" w:hAnsi="Arial Narrow"/>
      <w:sz w:val="20"/>
      <w:szCs w:val="20"/>
      <w:lang w:val="en-IN" w:eastAsia="en-IN"/>
    </w:rPr>
  </w:style>
  <w:style w:type="paragraph" w:customStyle="1" w:styleId="xl67">
    <w:name w:val="xl67"/>
    <w:basedOn w:val="Normal"/>
    <w:rsid w:val="00035F47"/>
    <w:pPr>
      <w:spacing w:before="100" w:beforeAutospacing="1" w:after="100" w:afterAutospacing="1"/>
    </w:pPr>
    <w:rPr>
      <w:rFonts w:ascii="Arial Narrow" w:hAnsi="Arial Narrow"/>
      <w:b/>
      <w:bCs/>
      <w:sz w:val="20"/>
      <w:szCs w:val="20"/>
      <w:lang w:val="en-IN" w:eastAsia="en-IN"/>
    </w:rPr>
  </w:style>
  <w:style w:type="paragraph" w:customStyle="1" w:styleId="xl68">
    <w:name w:val="xl68"/>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69">
    <w:name w:val="xl69"/>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70">
    <w:name w:val="xl70"/>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71">
    <w:name w:val="xl71"/>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color w:val="000000"/>
      <w:sz w:val="20"/>
      <w:szCs w:val="20"/>
      <w:lang w:val="en-IN" w:eastAsia="en-IN"/>
    </w:rPr>
  </w:style>
  <w:style w:type="paragraph" w:customStyle="1" w:styleId="xl72">
    <w:name w:val="xl72"/>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0"/>
      <w:szCs w:val="20"/>
      <w:lang w:val="en-IN" w:eastAsia="en-IN"/>
    </w:rPr>
  </w:style>
  <w:style w:type="paragraph" w:customStyle="1" w:styleId="xl73">
    <w:name w:val="xl73"/>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74">
    <w:name w:val="xl74"/>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0"/>
      <w:szCs w:val="20"/>
      <w:lang w:val="en-IN" w:eastAsia="en-IN"/>
    </w:rPr>
  </w:style>
  <w:style w:type="paragraph" w:customStyle="1" w:styleId="xl75">
    <w:name w:val="xl75"/>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n-IN" w:eastAsia="en-IN"/>
    </w:rPr>
  </w:style>
  <w:style w:type="paragraph" w:customStyle="1" w:styleId="xl76">
    <w:name w:val="xl76"/>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20"/>
      <w:szCs w:val="20"/>
      <w:lang w:val="en-IN" w:eastAsia="en-IN"/>
    </w:rPr>
  </w:style>
  <w:style w:type="paragraph" w:customStyle="1" w:styleId="xl77">
    <w:name w:val="xl77"/>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78">
    <w:name w:val="xl78"/>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79">
    <w:name w:val="xl79"/>
    <w:basedOn w:val="Normal"/>
    <w:rsid w:val="00035F4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textAlignment w:val="center"/>
    </w:pPr>
    <w:rPr>
      <w:rFonts w:ascii="Arial Narrow" w:hAnsi="Arial Narrow"/>
      <w:sz w:val="20"/>
      <w:szCs w:val="20"/>
      <w:lang w:val="en-IN" w:eastAsia="en-IN"/>
    </w:rPr>
  </w:style>
  <w:style w:type="paragraph" w:customStyle="1" w:styleId="xl80">
    <w:name w:val="xl80"/>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sz w:val="20"/>
      <w:szCs w:val="20"/>
      <w:lang w:val="en-IN" w:eastAsia="en-IN"/>
    </w:rPr>
  </w:style>
  <w:style w:type="paragraph" w:customStyle="1" w:styleId="xl81">
    <w:name w:val="xl81"/>
    <w:basedOn w:val="Normal"/>
    <w:rsid w:val="00035F4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Narrow" w:hAnsi="Arial Narrow"/>
      <w:sz w:val="20"/>
      <w:szCs w:val="20"/>
      <w:lang w:val="en-IN" w:eastAsia="en-IN"/>
    </w:rPr>
  </w:style>
  <w:style w:type="paragraph" w:customStyle="1" w:styleId="xl82">
    <w:name w:val="xl82"/>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0"/>
      <w:szCs w:val="20"/>
      <w:lang w:val="en-IN" w:eastAsia="en-IN"/>
    </w:rPr>
  </w:style>
  <w:style w:type="paragraph" w:customStyle="1" w:styleId="xl83">
    <w:name w:val="xl83"/>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0"/>
      <w:szCs w:val="20"/>
      <w:lang w:val="en-IN" w:eastAsia="en-IN"/>
    </w:rPr>
  </w:style>
  <w:style w:type="paragraph" w:customStyle="1" w:styleId="xl84">
    <w:name w:val="xl84"/>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sz w:val="20"/>
      <w:szCs w:val="20"/>
      <w:lang w:val="en-IN" w:eastAsia="en-IN"/>
    </w:rPr>
  </w:style>
  <w:style w:type="paragraph" w:customStyle="1" w:styleId="xl85">
    <w:name w:val="xl85"/>
    <w:basedOn w:val="Normal"/>
    <w:rsid w:val="00035F47"/>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textAlignment w:val="center"/>
    </w:pPr>
    <w:rPr>
      <w:rFonts w:ascii="Arial Narrow" w:hAnsi="Arial Narrow"/>
      <w:sz w:val="20"/>
      <w:szCs w:val="20"/>
      <w:lang w:val="en-IN" w:eastAsia="en-IN"/>
    </w:rPr>
  </w:style>
  <w:style w:type="paragraph" w:customStyle="1" w:styleId="xl86">
    <w:name w:val="xl86"/>
    <w:basedOn w:val="Normal"/>
    <w:rsid w:val="00035F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color w:val="000000"/>
      <w:sz w:val="20"/>
      <w:szCs w:val="20"/>
      <w:lang w:val="en-IN" w:eastAsia="en-IN"/>
    </w:rPr>
  </w:style>
  <w:style w:type="paragraph" w:customStyle="1" w:styleId="xl87">
    <w:name w:val="xl87"/>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88">
    <w:name w:val="xl88"/>
    <w:basedOn w:val="Normal"/>
    <w:rsid w:val="00035F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en-IN" w:eastAsia="en-IN"/>
    </w:rPr>
  </w:style>
  <w:style w:type="paragraph" w:customStyle="1" w:styleId="xl89">
    <w:name w:val="xl89"/>
    <w:basedOn w:val="Normal"/>
    <w:rsid w:val="00035F4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Narrow" w:hAnsi="Arial Narrow"/>
      <w:sz w:val="20"/>
      <w:szCs w:val="20"/>
      <w:lang w:val="en-IN" w:eastAsia="en-IN"/>
    </w:rPr>
  </w:style>
  <w:style w:type="paragraph" w:customStyle="1" w:styleId="xl90">
    <w:name w:val="xl90"/>
    <w:basedOn w:val="Normal"/>
    <w:rsid w:val="00035F47"/>
    <w:pPr>
      <w:pBdr>
        <w:top w:val="single" w:sz="4" w:space="0" w:color="auto"/>
        <w:left w:val="single" w:sz="4" w:space="0" w:color="auto"/>
        <w:bottom w:val="single" w:sz="4" w:space="0" w:color="auto"/>
        <w:right w:val="single" w:sz="4" w:space="0" w:color="auto"/>
      </w:pBdr>
      <w:shd w:val="clear" w:color="FFFFCC" w:fill="FFFF00"/>
      <w:spacing w:before="100" w:beforeAutospacing="1" w:after="100" w:afterAutospacing="1"/>
      <w:textAlignment w:val="center"/>
    </w:pPr>
    <w:rPr>
      <w:rFonts w:ascii="Arial Narrow" w:hAnsi="Arial Narrow"/>
      <w:sz w:val="20"/>
      <w:szCs w:val="20"/>
      <w:lang w:val="en-IN" w:eastAsia="en-IN"/>
    </w:rPr>
  </w:style>
  <w:style w:type="character" w:customStyle="1" w:styleId="HeaderChar">
    <w:name w:val="Header Char"/>
    <w:basedOn w:val="DefaultParagraphFont"/>
    <w:link w:val="Header"/>
    <w:uiPriority w:val="99"/>
    <w:rsid w:val="00A46448"/>
    <w:rPr>
      <w:sz w:val="24"/>
      <w:szCs w:val="24"/>
      <w:lang w:val="en-US" w:eastAsia="en-US"/>
    </w:rPr>
  </w:style>
  <w:style w:type="character" w:customStyle="1" w:styleId="FooterChar">
    <w:name w:val="Footer Char"/>
    <w:basedOn w:val="DefaultParagraphFont"/>
    <w:link w:val="Footer"/>
    <w:uiPriority w:val="99"/>
    <w:rsid w:val="00A46448"/>
    <w:rPr>
      <w:sz w:val="24"/>
      <w:szCs w:val="24"/>
      <w:lang w:val="en-US" w:eastAsia="en-US"/>
    </w:rPr>
  </w:style>
  <w:style w:type="character" w:customStyle="1" w:styleId="Heading4Char">
    <w:name w:val="Heading 4 Char"/>
    <w:basedOn w:val="DefaultParagraphFont"/>
    <w:link w:val="Heading4"/>
    <w:rsid w:val="00B960B2"/>
    <w:rPr>
      <w:rFonts w:ascii="Calibri" w:hAnsi="Calibri"/>
      <w:b/>
      <w:bCs/>
      <w:sz w:val="28"/>
      <w:szCs w:val="28"/>
      <w:lang w:val="en-GB" w:eastAsia="en-US"/>
    </w:rPr>
  </w:style>
  <w:style w:type="character" w:customStyle="1" w:styleId="Heading5Char">
    <w:name w:val="Heading 5 Char"/>
    <w:basedOn w:val="DefaultParagraphFont"/>
    <w:link w:val="Heading5"/>
    <w:rsid w:val="00B960B2"/>
    <w:rPr>
      <w:rFonts w:ascii="Book Antiqua" w:hAnsi="Book Antiqua"/>
      <w:b/>
      <w:bCs/>
      <w:i/>
      <w:iCs/>
      <w:sz w:val="22"/>
      <w:szCs w:val="22"/>
      <w:lang w:val="en-US" w:eastAsia="en-US"/>
    </w:rPr>
  </w:style>
  <w:style w:type="character" w:customStyle="1" w:styleId="Heading6Char">
    <w:name w:val="Heading 6 Char"/>
    <w:basedOn w:val="DefaultParagraphFont"/>
    <w:link w:val="Heading6"/>
    <w:rsid w:val="00B960B2"/>
    <w:rPr>
      <w:rFonts w:ascii="Book Antiqua" w:hAnsi="Book Antiqua"/>
      <w:i/>
      <w:iCs/>
      <w:sz w:val="22"/>
      <w:szCs w:val="22"/>
      <w:lang w:val="en-US" w:eastAsia="en-US"/>
    </w:rPr>
  </w:style>
  <w:style w:type="character" w:customStyle="1" w:styleId="Heading7Char">
    <w:name w:val="Heading 7 Char"/>
    <w:basedOn w:val="DefaultParagraphFont"/>
    <w:link w:val="Heading7"/>
    <w:rsid w:val="00B960B2"/>
    <w:rPr>
      <w:rFonts w:ascii="Arial" w:hAnsi="Arial" w:cs="Arial"/>
      <w:lang w:val="en-US" w:eastAsia="en-US"/>
    </w:rPr>
  </w:style>
  <w:style w:type="character" w:customStyle="1" w:styleId="Heading8Char">
    <w:name w:val="Heading 8 Char"/>
    <w:basedOn w:val="DefaultParagraphFont"/>
    <w:link w:val="Heading8"/>
    <w:rsid w:val="00B960B2"/>
    <w:rPr>
      <w:rFonts w:ascii="Arial" w:hAnsi="Arial" w:cs="Arial"/>
      <w:i/>
      <w:iCs/>
      <w:lang w:val="en-US" w:eastAsia="en-US"/>
    </w:rPr>
  </w:style>
  <w:style w:type="character" w:customStyle="1" w:styleId="Heading9Char">
    <w:name w:val="Heading 9 Char"/>
    <w:basedOn w:val="DefaultParagraphFont"/>
    <w:link w:val="Heading9"/>
    <w:rsid w:val="00B960B2"/>
    <w:rPr>
      <w:rFonts w:ascii="Arial" w:hAnsi="Arial" w:cs="Arial"/>
      <w:b/>
      <w:bCs/>
      <w:i/>
      <w:iCs/>
      <w:sz w:val="18"/>
      <w:szCs w:val="18"/>
      <w:lang w:val="en-US" w:eastAsia="en-US"/>
    </w:rPr>
  </w:style>
  <w:style w:type="character" w:customStyle="1" w:styleId="Heading3Char">
    <w:name w:val="Heading 3 Char"/>
    <w:aliases w:val="Minor Char,level3 Char"/>
    <w:basedOn w:val="DefaultParagraphFont"/>
    <w:link w:val="Heading3"/>
    <w:rsid w:val="00B960B2"/>
    <w:rPr>
      <w:rFonts w:ascii="Arial" w:hAnsi="Arial" w:cs="Arial"/>
      <w:b/>
      <w:bCs/>
      <w:sz w:val="26"/>
      <w:szCs w:val="26"/>
      <w:lang w:val="en-US" w:eastAsia="en-US"/>
    </w:rPr>
  </w:style>
  <w:style w:type="paragraph" w:customStyle="1" w:styleId="L-Hed">
    <w:name w:val="L-Hed"/>
    <w:basedOn w:val="Normal"/>
    <w:link w:val="L-HedChar"/>
    <w:qFormat/>
    <w:rsid w:val="00B960B2"/>
    <w:pPr>
      <w:spacing w:before="120" w:after="120" w:line="300" w:lineRule="auto"/>
    </w:pPr>
    <w:rPr>
      <w:rFonts w:ascii="Arial" w:hAnsi="Arial" w:cs="Arial"/>
      <w:b/>
      <w:sz w:val="22"/>
    </w:rPr>
  </w:style>
  <w:style w:type="character" w:customStyle="1" w:styleId="L-HedChar">
    <w:name w:val="L-Hed Char"/>
    <w:basedOn w:val="DefaultParagraphFont"/>
    <w:link w:val="L-Hed"/>
    <w:rsid w:val="00B960B2"/>
    <w:rPr>
      <w:rFonts w:ascii="Arial" w:hAnsi="Arial" w:cs="Arial"/>
      <w:b/>
      <w:sz w:val="22"/>
      <w:szCs w:val="24"/>
      <w:lang w:val="en-US" w:eastAsia="en-US"/>
    </w:rPr>
  </w:style>
  <w:style w:type="paragraph" w:styleId="TOCHeading">
    <w:name w:val="TOC Heading"/>
    <w:basedOn w:val="Heading1"/>
    <w:next w:val="Normal"/>
    <w:uiPriority w:val="39"/>
    <w:unhideWhenUsed/>
    <w:qFormat/>
    <w:rsid w:val="00B960B2"/>
    <w:pPr>
      <w:keepLines/>
      <w:spacing w:before="480" w:after="0" w:line="276" w:lineRule="auto"/>
      <w:outlineLvl w:val="9"/>
    </w:pPr>
    <w:rPr>
      <w:rFonts w:ascii="Cambria" w:hAnsi="Cambria" w:cs="Times New Roman"/>
      <w:color w:val="365F91"/>
      <w:kern w:val="0"/>
      <w:sz w:val="28"/>
      <w:szCs w:val="28"/>
    </w:rPr>
  </w:style>
  <w:style w:type="paragraph" w:styleId="TableofFigures">
    <w:name w:val="table of figures"/>
    <w:basedOn w:val="Normal"/>
    <w:next w:val="Normal"/>
    <w:uiPriority w:val="99"/>
    <w:unhideWhenUsed/>
    <w:rsid w:val="00B960B2"/>
    <w:pPr>
      <w:spacing w:line="300" w:lineRule="auto"/>
      <w:ind w:left="440" w:hanging="440"/>
    </w:pPr>
    <w:rPr>
      <w:rFonts w:ascii="Calibri" w:hAnsi="Calibri"/>
      <w:smallCaps/>
      <w:sz w:val="20"/>
      <w:szCs w:val="20"/>
    </w:rPr>
  </w:style>
  <w:style w:type="paragraph" w:styleId="BodyText3">
    <w:name w:val="Body Text 3"/>
    <w:basedOn w:val="Normal"/>
    <w:link w:val="BodyText3Char"/>
    <w:uiPriority w:val="99"/>
    <w:unhideWhenUsed/>
    <w:rsid w:val="00B960B2"/>
    <w:pPr>
      <w:spacing w:after="120" w:line="300" w:lineRule="auto"/>
      <w:jc w:val="both"/>
    </w:pPr>
    <w:rPr>
      <w:rFonts w:ascii="Arial" w:hAnsi="Arial"/>
      <w:sz w:val="16"/>
      <w:szCs w:val="16"/>
    </w:rPr>
  </w:style>
  <w:style w:type="character" w:customStyle="1" w:styleId="BodyText3Char">
    <w:name w:val="Body Text 3 Char"/>
    <w:basedOn w:val="DefaultParagraphFont"/>
    <w:link w:val="BodyText3"/>
    <w:uiPriority w:val="99"/>
    <w:rsid w:val="00B960B2"/>
    <w:rPr>
      <w:rFonts w:ascii="Arial" w:hAnsi="Arial"/>
      <w:sz w:val="16"/>
      <w:szCs w:val="16"/>
      <w:lang w:val="en-US" w:eastAsia="en-US"/>
    </w:rPr>
  </w:style>
  <w:style w:type="paragraph" w:styleId="Index1">
    <w:name w:val="index 1"/>
    <w:basedOn w:val="Normal"/>
    <w:next w:val="Normal"/>
    <w:autoRedefine/>
    <w:uiPriority w:val="99"/>
    <w:unhideWhenUsed/>
    <w:rsid w:val="00B960B2"/>
    <w:pPr>
      <w:ind w:left="220" w:hanging="220"/>
      <w:jc w:val="both"/>
    </w:pPr>
    <w:rPr>
      <w:rFonts w:ascii="Arial" w:hAnsi="Arial"/>
      <w:sz w:val="22"/>
    </w:rPr>
  </w:style>
  <w:style w:type="paragraph" w:styleId="IndexHeading">
    <w:name w:val="index heading"/>
    <w:basedOn w:val="Normal"/>
    <w:next w:val="Index1"/>
    <w:rsid w:val="00B960B2"/>
    <w:pPr>
      <w:spacing w:line="312" w:lineRule="auto"/>
      <w:jc w:val="both"/>
    </w:pPr>
    <w:rPr>
      <w:sz w:val="22"/>
      <w:szCs w:val="22"/>
      <w:lang w:val="en-GB"/>
    </w:rPr>
  </w:style>
  <w:style w:type="paragraph" w:styleId="Closing">
    <w:name w:val="Closing"/>
    <w:basedOn w:val="Default"/>
    <w:next w:val="Default"/>
    <w:link w:val="ClosingChar"/>
    <w:uiPriority w:val="99"/>
    <w:rsid w:val="00B960B2"/>
    <w:rPr>
      <w:rFonts w:ascii="ELGMPJ+TimesNewRoman,Bold" w:hAnsi="ELGMPJ+TimesNewRoman,Bold" w:cs="Gautami"/>
      <w:color w:val="auto"/>
      <w:lang w:val="en-US" w:eastAsia="en-US" w:bidi="te-IN"/>
    </w:rPr>
  </w:style>
  <w:style w:type="character" w:customStyle="1" w:styleId="ClosingChar">
    <w:name w:val="Closing Char"/>
    <w:basedOn w:val="DefaultParagraphFont"/>
    <w:link w:val="Closing"/>
    <w:uiPriority w:val="99"/>
    <w:rsid w:val="00B960B2"/>
    <w:rPr>
      <w:rFonts w:ascii="ELGMPJ+TimesNewRoman,Bold" w:hAnsi="ELGMPJ+TimesNewRoman,Bold" w:cs="Gautami"/>
      <w:sz w:val="24"/>
      <w:szCs w:val="24"/>
      <w:lang w:val="en-US" w:eastAsia="en-US" w:bidi="te-IN"/>
    </w:rPr>
  </w:style>
  <w:style w:type="paragraph" w:customStyle="1" w:styleId="Style">
    <w:name w:val="Style"/>
    <w:rsid w:val="00B960B2"/>
    <w:pPr>
      <w:widowControl w:val="0"/>
      <w:autoSpaceDE w:val="0"/>
      <w:autoSpaceDN w:val="0"/>
      <w:adjustRightInd w:val="0"/>
    </w:pPr>
    <w:rPr>
      <w:rFonts w:ascii="Arial" w:hAnsi="Arial" w:cs="Arial"/>
      <w:sz w:val="24"/>
      <w:szCs w:val="24"/>
      <w:lang w:val="en-US" w:eastAsia="en-US"/>
    </w:rPr>
  </w:style>
  <w:style w:type="paragraph" w:customStyle="1" w:styleId="Bullet">
    <w:name w:val="Bullet"/>
    <w:basedOn w:val="Normal"/>
    <w:rsid w:val="00B960B2"/>
    <w:pPr>
      <w:tabs>
        <w:tab w:val="num" w:pos="720"/>
      </w:tabs>
      <w:ind w:left="720" w:hanging="360"/>
      <w:jc w:val="both"/>
    </w:pPr>
    <w:rPr>
      <w:rFonts w:ascii="Book Antiqua" w:hAnsi="Book Antiqua"/>
      <w:color w:val="0A043D"/>
      <w:sz w:val="22"/>
      <w:lang w:bidi="te-IN"/>
    </w:rPr>
  </w:style>
  <w:style w:type="character" w:customStyle="1" w:styleId="TitleChar">
    <w:name w:val="Title Char"/>
    <w:basedOn w:val="DefaultParagraphFont"/>
    <w:link w:val="Title"/>
    <w:rsid w:val="00B960B2"/>
    <w:rPr>
      <w:rFonts w:ascii="Arial" w:hAnsi="Arial"/>
      <w:b/>
      <w:kern w:val="28"/>
      <w:sz w:val="32"/>
      <w:lang w:val="en-GB" w:eastAsia="en-US"/>
    </w:rPr>
  </w:style>
  <w:style w:type="character" w:styleId="Emphasis">
    <w:name w:val="Emphasis"/>
    <w:basedOn w:val="DefaultParagraphFont"/>
    <w:qFormat/>
    <w:rsid w:val="00CE0792"/>
    <w:rPr>
      <w:i/>
      <w:iCs/>
    </w:rPr>
  </w:style>
</w:styles>
</file>

<file path=word/webSettings.xml><?xml version="1.0" encoding="utf-8"?>
<w:webSettings xmlns:r="http://schemas.openxmlformats.org/officeDocument/2006/relationships" xmlns:w="http://schemas.openxmlformats.org/wordprocessingml/2006/main">
  <w:divs>
    <w:div w:id="8454148">
      <w:bodyDiv w:val="1"/>
      <w:marLeft w:val="0"/>
      <w:marRight w:val="0"/>
      <w:marTop w:val="0"/>
      <w:marBottom w:val="0"/>
      <w:divBdr>
        <w:top w:val="none" w:sz="0" w:space="0" w:color="auto"/>
        <w:left w:val="none" w:sz="0" w:space="0" w:color="auto"/>
        <w:bottom w:val="none" w:sz="0" w:space="0" w:color="auto"/>
        <w:right w:val="none" w:sz="0" w:space="0" w:color="auto"/>
      </w:divBdr>
    </w:div>
    <w:div w:id="27416931">
      <w:bodyDiv w:val="1"/>
      <w:marLeft w:val="0"/>
      <w:marRight w:val="0"/>
      <w:marTop w:val="0"/>
      <w:marBottom w:val="0"/>
      <w:divBdr>
        <w:top w:val="none" w:sz="0" w:space="0" w:color="auto"/>
        <w:left w:val="none" w:sz="0" w:space="0" w:color="auto"/>
        <w:bottom w:val="none" w:sz="0" w:space="0" w:color="auto"/>
        <w:right w:val="none" w:sz="0" w:space="0" w:color="auto"/>
      </w:divBdr>
    </w:div>
    <w:div w:id="82188878">
      <w:bodyDiv w:val="1"/>
      <w:marLeft w:val="0"/>
      <w:marRight w:val="0"/>
      <w:marTop w:val="0"/>
      <w:marBottom w:val="0"/>
      <w:divBdr>
        <w:top w:val="none" w:sz="0" w:space="0" w:color="auto"/>
        <w:left w:val="none" w:sz="0" w:space="0" w:color="auto"/>
        <w:bottom w:val="none" w:sz="0" w:space="0" w:color="auto"/>
        <w:right w:val="none" w:sz="0" w:space="0" w:color="auto"/>
      </w:divBdr>
    </w:div>
    <w:div w:id="85736401">
      <w:bodyDiv w:val="1"/>
      <w:marLeft w:val="0"/>
      <w:marRight w:val="0"/>
      <w:marTop w:val="0"/>
      <w:marBottom w:val="0"/>
      <w:divBdr>
        <w:top w:val="none" w:sz="0" w:space="0" w:color="auto"/>
        <w:left w:val="none" w:sz="0" w:space="0" w:color="auto"/>
        <w:bottom w:val="none" w:sz="0" w:space="0" w:color="auto"/>
        <w:right w:val="none" w:sz="0" w:space="0" w:color="auto"/>
      </w:divBdr>
    </w:div>
    <w:div w:id="114982894">
      <w:bodyDiv w:val="1"/>
      <w:marLeft w:val="0"/>
      <w:marRight w:val="0"/>
      <w:marTop w:val="0"/>
      <w:marBottom w:val="0"/>
      <w:divBdr>
        <w:top w:val="none" w:sz="0" w:space="0" w:color="auto"/>
        <w:left w:val="none" w:sz="0" w:space="0" w:color="auto"/>
        <w:bottom w:val="none" w:sz="0" w:space="0" w:color="auto"/>
        <w:right w:val="none" w:sz="0" w:space="0" w:color="auto"/>
      </w:divBdr>
    </w:div>
    <w:div w:id="123543779">
      <w:bodyDiv w:val="1"/>
      <w:marLeft w:val="0"/>
      <w:marRight w:val="0"/>
      <w:marTop w:val="0"/>
      <w:marBottom w:val="0"/>
      <w:divBdr>
        <w:top w:val="none" w:sz="0" w:space="0" w:color="auto"/>
        <w:left w:val="none" w:sz="0" w:space="0" w:color="auto"/>
        <w:bottom w:val="none" w:sz="0" w:space="0" w:color="auto"/>
        <w:right w:val="none" w:sz="0" w:space="0" w:color="auto"/>
      </w:divBdr>
    </w:div>
    <w:div w:id="208567896">
      <w:bodyDiv w:val="1"/>
      <w:marLeft w:val="0"/>
      <w:marRight w:val="0"/>
      <w:marTop w:val="0"/>
      <w:marBottom w:val="0"/>
      <w:divBdr>
        <w:top w:val="none" w:sz="0" w:space="0" w:color="auto"/>
        <w:left w:val="none" w:sz="0" w:space="0" w:color="auto"/>
        <w:bottom w:val="none" w:sz="0" w:space="0" w:color="auto"/>
        <w:right w:val="none" w:sz="0" w:space="0" w:color="auto"/>
      </w:divBdr>
    </w:div>
    <w:div w:id="209801754">
      <w:bodyDiv w:val="1"/>
      <w:marLeft w:val="0"/>
      <w:marRight w:val="0"/>
      <w:marTop w:val="0"/>
      <w:marBottom w:val="0"/>
      <w:divBdr>
        <w:top w:val="none" w:sz="0" w:space="0" w:color="auto"/>
        <w:left w:val="none" w:sz="0" w:space="0" w:color="auto"/>
        <w:bottom w:val="none" w:sz="0" w:space="0" w:color="auto"/>
        <w:right w:val="none" w:sz="0" w:space="0" w:color="auto"/>
      </w:divBdr>
    </w:div>
    <w:div w:id="217857886">
      <w:bodyDiv w:val="1"/>
      <w:marLeft w:val="0"/>
      <w:marRight w:val="0"/>
      <w:marTop w:val="0"/>
      <w:marBottom w:val="0"/>
      <w:divBdr>
        <w:top w:val="none" w:sz="0" w:space="0" w:color="auto"/>
        <w:left w:val="none" w:sz="0" w:space="0" w:color="auto"/>
        <w:bottom w:val="none" w:sz="0" w:space="0" w:color="auto"/>
        <w:right w:val="none" w:sz="0" w:space="0" w:color="auto"/>
      </w:divBdr>
      <w:divsChild>
        <w:div w:id="2093775457">
          <w:marLeft w:val="0"/>
          <w:marRight w:val="0"/>
          <w:marTop w:val="0"/>
          <w:marBottom w:val="0"/>
          <w:divBdr>
            <w:top w:val="none" w:sz="0" w:space="0" w:color="auto"/>
            <w:left w:val="none" w:sz="0" w:space="0" w:color="auto"/>
            <w:bottom w:val="none" w:sz="0" w:space="0" w:color="auto"/>
            <w:right w:val="none" w:sz="0" w:space="0" w:color="auto"/>
          </w:divBdr>
          <w:divsChild>
            <w:div w:id="379718508">
              <w:marLeft w:val="0"/>
              <w:marRight w:val="0"/>
              <w:marTop w:val="0"/>
              <w:marBottom w:val="0"/>
              <w:divBdr>
                <w:top w:val="none" w:sz="0" w:space="0" w:color="auto"/>
                <w:left w:val="none" w:sz="0" w:space="0" w:color="auto"/>
                <w:bottom w:val="none" w:sz="0" w:space="0" w:color="auto"/>
                <w:right w:val="none" w:sz="0" w:space="0" w:color="auto"/>
              </w:divBdr>
            </w:div>
            <w:div w:id="628511457">
              <w:marLeft w:val="0"/>
              <w:marRight w:val="0"/>
              <w:marTop w:val="0"/>
              <w:marBottom w:val="0"/>
              <w:divBdr>
                <w:top w:val="none" w:sz="0" w:space="0" w:color="auto"/>
                <w:left w:val="none" w:sz="0" w:space="0" w:color="auto"/>
                <w:bottom w:val="none" w:sz="0" w:space="0" w:color="auto"/>
                <w:right w:val="none" w:sz="0" w:space="0" w:color="auto"/>
              </w:divBdr>
            </w:div>
            <w:div w:id="1119186640">
              <w:marLeft w:val="0"/>
              <w:marRight w:val="0"/>
              <w:marTop w:val="0"/>
              <w:marBottom w:val="0"/>
              <w:divBdr>
                <w:top w:val="none" w:sz="0" w:space="0" w:color="auto"/>
                <w:left w:val="none" w:sz="0" w:space="0" w:color="auto"/>
                <w:bottom w:val="none" w:sz="0" w:space="0" w:color="auto"/>
                <w:right w:val="none" w:sz="0" w:space="0" w:color="auto"/>
              </w:divBdr>
            </w:div>
            <w:div w:id="1196381497">
              <w:marLeft w:val="0"/>
              <w:marRight w:val="0"/>
              <w:marTop w:val="0"/>
              <w:marBottom w:val="0"/>
              <w:divBdr>
                <w:top w:val="none" w:sz="0" w:space="0" w:color="auto"/>
                <w:left w:val="none" w:sz="0" w:space="0" w:color="auto"/>
                <w:bottom w:val="none" w:sz="0" w:space="0" w:color="auto"/>
                <w:right w:val="none" w:sz="0" w:space="0" w:color="auto"/>
              </w:divBdr>
            </w:div>
            <w:div w:id="126071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900914">
      <w:bodyDiv w:val="1"/>
      <w:marLeft w:val="0"/>
      <w:marRight w:val="0"/>
      <w:marTop w:val="0"/>
      <w:marBottom w:val="0"/>
      <w:divBdr>
        <w:top w:val="none" w:sz="0" w:space="0" w:color="auto"/>
        <w:left w:val="none" w:sz="0" w:space="0" w:color="auto"/>
        <w:bottom w:val="none" w:sz="0" w:space="0" w:color="auto"/>
        <w:right w:val="none" w:sz="0" w:space="0" w:color="auto"/>
      </w:divBdr>
    </w:div>
    <w:div w:id="259989819">
      <w:bodyDiv w:val="1"/>
      <w:marLeft w:val="0"/>
      <w:marRight w:val="0"/>
      <w:marTop w:val="0"/>
      <w:marBottom w:val="0"/>
      <w:divBdr>
        <w:top w:val="none" w:sz="0" w:space="0" w:color="auto"/>
        <w:left w:val="none" w:sz="0" w:space="0" w:color="auto"/>
        <w:bottom w:val="none" w:sz="0" w:space="0" w:color="auto"/>
        <w:right w:val="none" w:sz="0" w:space="0" w:color="auto"/>
      </w:divBdr>
    </w:div>
    <w:div w:id="329449820">
      <w:bodyDiv w:val="1"/>
      <w:marLeft w:val="0"/>
      <w:marRight w:val="0"/>
      <w:marTop w:val="0"/>
      <w:marBottom w:val="0"/>
      <w:divBdr>
        <w:top w:val="none" w:sz="0" w:space="0" w:color="auto"/>
        <w:left w:val="none" w:sz="0" w:space="0" w:color="auto"/>
        <w:bottom w:val="none" w:sz="0" w:space="0" w:color="auto"/>
        <w:right w:val="none" w:sz="0" w:space="0" w:color="auto"/>
      </w:divBdr>
    </w:div>
    <w:div w:id="331493078">
      <w:bodyDiv w:val="1"/>
      <w:marLeft w:val="0"/>
      <w:marRight w:val="0"/>
      <w:marTop w:val="0"/>
      <w:marBottom w:val="0"/>
      <w:divBdr>
        <w:top w:val="none" w:sz="0" w:space="0" w:color="auto"/>
        <w:left w:val="none" w:sz="0" w:space="0" w:color="auto"/>
        <w:bottom w:val="none" w:sz="0" w:space="0" w:color="auto"/>
        <w:right w:val="none" w:sz="0" w:space="0" w:color="auto"/>
      </w:divBdr>
    </w:div>
    <w:div w:id="338435777">
      <w:bodyDiv w:val="1"/>
      <w:marLeft w:val="0"/>
      <w:marRight w:val="0"/>
      <w:marTop w:val="0"/>
      <w:marBottom w:val="0"/>
      <w:divBdr>
        <w:top w:val="none" w:sz="0" w:space="0" w:color="auto"/>
        <w:left w:val="none" w:sz="0" w:space="0" w:color="auto"/>
        <w:bottom w:val="none" w:sz="0" w:space="0" w:color="auto"/>
        <w:right w:val="none" w:sz="0" w:space="0" w:color="auto"/>
      </w:divBdr>
    </w:div>
    <w:div w:id="379548860">
      <w:bodyDiv w:val="1"/>
      <w:marLeft w:val="0"/>
      <w:marRight w:val="0"/>
      <w:marTop w:val="0"/>
      <w:marBottom w:val="0"/>
      <w:divBdr>
        <w:top w:val="none" w:sz="0" w:space="0" w:color="auto"/>
        <w:left w:val="none" w:sz="0" w:space="0" w:color="auto"/>
        <w:bottom w:val="none" w:sz="0" w:space="0" w:color="auto"/>
        <w:right w:val="none" w:sz="0" w:space="0" w:color="auto"/>
      </w:divBdr>
    </w:div>
    <w:div w:id="387000757">
      <w:bodyDiv w:val="1"/>
      <w:marLeft w:val="0"/>
      <w:marRight w:val="0"/>
      <w:marTop w:val="0"/>
      <w:marBottom w:val="0"/>
      <w:divBdr>
        <w:top w:val="none" w:sz="0" w:space="0" w:color="auto"/>
        <w:left w:val="none" w:sz="0" w:space="0" w:color="auto"/>
        <w:bottom w:val="none" w:sz="0" w:space="0" w:color="auto"/>
        <w:right w:val="none" w:sz="0" w:space="0" w:color="auto"/>
      </w:divBdr>
    </w:div>
    <w:div w:id="410663639">
      <w:bodyDiv w:val="1"/>
      <w:marLeft w:val="0"/>
      <w:marRight w:val="0"/>
      <w:marTop w:val="0"/>
      <w:marBottom w:val="0"/>
      <w:divBdr>
        <w:top w:val="none" w:sz="0" w:space="0" w:color="auto"/>
        <w:left w:val="none" w:sz="0" w:space="0" w:color="auto"/>
        <w:bottom w:val="none" w:sz="0" w:space="0" w:color="auto"/>
        <w:right w:val="none" w:sz="0" w:space="0" w:color="auto"/>
      </w:divBdr>
    </w:div>
    <w:div w:id="413748436">
      <w:bodyDiv w:val="1"/>
      <w:marLeft w:val="0"/>
      <w:marRight w:val="0"/>
      <w:marTop w:val="0"/>
      <w:marBottom w:val="0"/>
      <w:divBdr>
        <w:top w:val="none" w:sz="0" w:space="0" w:color="auto"/>
        <w:left w:val="none" w:sz="0" w:space="0" w:color="auto"/>
        <w:bottom w:val="none" w:sz="0" w:space="0" w:color="auto"/>
        <w:right w:val="none" w:sz="0" w:space="0" w:color="auto"/>
      </w:divBdr>
    </w:div>
    <w:div w:id="414787156">
      <w:bodyDiv w:val="1"/>
      <w:marLeft w:val="0"/>
      <w:marRight w:val="0"/>
      <w:marTop w:val="0"/>
      <w:marBottom w:val="0"/>
      <w:divBdr>
        <w:top w:val="none" w:sz="0" w:space="0" w:color="auto"/>
        <w:left w:val="none" w:sz="0" w:space="0" w:color="auto"/>
        <w:bottom w:val="none" w:sz="0" w:space="0" w:color="auto"/>
        <w:right w:val="none" w:sz="0" w:space="0" w:color="auto"/>
      </w:divBdr>
    </w:div>
    <w:div w:id="432089109">
      <w:bodyDiv w:val="1"/>
      <w:marLeft w:val="0"/>
      <w:marRight w:val="0"/>
      <w:marTop w:val="0"/>
      <w:marBottom w:val="0"/>
      <w:divBdr>
        <w:top w:val="none" w:sz="0" w:space="0" w:color="auto"/>
        <w:left w:val="none" w:sz="0" w:space="0" w:color="auto"/>
        <w:bottom w:val="none" w:sz="0" w:space="0" w:color="auto"/>
        <w:right w:val="none" w:sz="0" w:space="0" w:color="auto"/>
      </w:divBdr>
    </w:div>
    <w:div w:id="460808290">
      <w:bodyDiv w:val="1"/>
      <w:marLeft w:val="0"/>
      <w:marRight w:val="0"/>
      <w:marTop w:val="0"/>
      <w:marBottom w:val="0"/>
      <w:divBdr>
        <w:top w:val="none" w:sz="0" w:space="0" w:color="auto"/>
        <w:left w:val="none" w:sz="0" w:space="0" w:color="auto"/>
        <w:bottom w:val="none" w:sz="0" w:space="0" w:color="auto"/>
        <w:right w:val="none" w:sz="0" w:space="0" w:color="auto"/>
      </w:divBdr>
    </w:div>
    <w:div w:id="479881861">
      <w:bodyDiv w:val="1"/>
      <w:marLeft w:val="0"/>
      <w:marRight w:val="0"/>
      <w:marTop w:val="0"/>
      <w:marBottom w:val="0"/>
      <w:divBdr>
        <w:top w:val="none" w:sz="0" w:space="0" w:color="auto"/>
        <w:left w:val="none" w:sz="0" w:space="0" w:color="auto"/>
        <w:bottom w:val="none" w:sz="0" w:space="0" w:color="auto"/>
        <w:right w:val="none" w:sz="0" w:space="0" w:color="auto"/>
      </w:divBdr>
    </w:div>
    <w:div w:id="502211597">
      <w:bodyDiv w:val="1"/>
      <w:marLeft w:val="0"/>
      <w:marRight w:val="0"/>
      <w:marTop w:val="0"/>
      <w:marBottom w:val="0"/>
      <w:divBdr>
        <w:top w:val="none" w:sz="0" w:space="0" w:color="auto"/>
        <w:left w:val="none" w:sz="0" w:space="0" w:color="auto"/>
        <w:bottom w:val="none" w:sz="0" w:space="0" w:color="auto"/>
        <w:right w:val="none" w:sz="0" w:space="0" w:color="auto"/>
      </w:divBdr>
    </w:div>
    <w:div w:id="506021080">
      <w:bodyDiv w:val="1"/>
      <w:marLeft w:val="0"/>
      <w:marRight w:val="0"/>
      <w:marTop w:val="0"/>
      <w:marBottom w:val="0"/>
      <w:divBdr>
        <w:top w:val="none" w:sz="0" w:space="0" w:color="auto"/>
        <w:left w:val="none" w:sz="0" w:space="0" w:color="auto"/>
        <w:bottom w:val="none" w:sz="0" w:space="0" w:color="auto"/>
        <w:right w:val="none" w:sz="0" w:space="0" w:color="auto"/>
      </w:divBdr>
    </w:div>
    <w:div w:id="506483429">
      <w:bodyDiv w:val="1"/>
      <w:marLeft w:val="0"/>
      <w:marRight w:val="0"/>
      <w:marTop w:val="0"/>
      <w:marBottom w:val="0"/>
      <w:divBdr>
        <w:top w:val="none" w:sz="0" w:space="0" w:color="auto"/>
        <w:left w:val="none" w:sz="0" w:space="0" w:color="auto"/>
        <w:bottom w:val="none" w:sz="0" w:space="0" w:color="auto"/>
        <w:right w:val="none" w:sz="0" w:space="0" w:color="auto"/>
      </w:divBdr>
    </w:div>
    <w:div w:id="515114274">
      <w:bodyDiv w:val="1"/>
      <w:marLeft w:val="0"/>
      <w:marRight w:val="0"/>
      <w:marTop w:val="0"/>
      <w:marBottom w:val="0"/>
      <w:divBdr>
        <w:top w:val="none" w:sz="0" w:space="0" w:color="auto"/>
        <w:left w:val="none" w:sz="0" w:space="0" w:color="auto"/>
        <w:bottom w:val="none" w:sz="0" w:space="0" w:color="auto"/>
        <w:right w:val="none" w:sz="0" w:space="0" w:color="auto"/>
      </w:divBdr>
    </w:div>
    <w:div w:id="521360623">
      <w:bodyDiv w:val="1"/>
      <w:marLeft w:val="0"/>
      <w:marRight w:val="0"/>
      <w:marTop w:val="0"/>
      <w:marBottom w:val="0"/>
      <w:divBdr>
        <w:top w:val="none" w:sz="0" w:space="0" w:color="auto"/>
        <w:left w:val="none" w:sz="0" w:space="0" w:color="auto"/>
        <w:bottom w:val="none" w:sz="0" w:space="0" w:color="auto"/>
        <w:right w:val="none" w:sz="0" w:space="0" w:color="auto"/>
      </w:divBdr>
    </w:div>
    <w:div w:id="528299738">
      <w:bodyDiv w:val="1"/>
      <w:marLeft w:val="0"/>
      <w:marRight w:val="0"/>
      <w:marTop w:val="0"/>
      <w:marBottom w:val="0"/>
      <w:divBdr>
        <w:top w:val="none" w:sz="0" w:space="0" w:color="auto"/>
        <w:left w:val="none" w:sz="0" w:space="0" w:color="auto"/>
        <w:bottom w:val="none" w:sz="0" w:space="0" w:color="auto"/>
        <w:right w:val="none" w:sz="0" w:space="0" w:color="auto"/>
      </w:divBdr>
    </w:div>
    <w:div w:id="536040644">
      <w:bodyDiv w:val="1"/>
      <w:marLeft w:val="0"/>
      <w:marRight w:val="0"/>
      <w:marTop w:val="0"/>
      <w:marBottom w:val="0"/>
      <w:divBdr>
        <w:top w:val="none" w:sz="0" w:space="0" w:color="auto"/>
        <w:left w:val="none" w:sz="0" w:space="0" w:color="auto"/>
        <w:bottom w:val="none" w:sz="0" w:space="0" w:color="auto"/>
        <w:right w:val="none" w:sz="0" w:space="0" w:color="auto"/>
      </w:divBdr>
    </w:div>
    <w:div w:id="551963112">
      <w:bodyDiv w:val="1"/>
      <w:marLeft w:val="0"/>
      <w:marRight w:val="0"/>
      <w:marTop w:val="0"/>
      <w:marBottom w:val="0"/>
      <w:divBdr>
        <w:top w:val="none" w:sz="0" w:space="0" w:color="auto"/>
        <w:left w:val="none" w:sz="0" w:space="0" w:color="auto"/>
        <w:bottom w:val="none" w:sz="0" w:space="0" w:color="auto"/>
        <w:right w:val="none" w:sz="0" w:space="0" w:color="auto"/>
      </w:divBdr>
      <w:divsChild>
        <w:div w:id="372118937">
          <w:marLeft w:val="547"/>
          <w:marRight w:val="0"/>
          <w:marTop w:val="96"/>
          <w:marBottom w:val="0"/>
          <w:divBdr>
            <w:top w:val="none" w:sz="0" w:space="0" w:color="auto"/>
            <w:left w:val="none" w:sz="0" w:space="0" w:color="auto"/>
            <w:bottom w:val="none" w:sz="0" w:space="0" w:color="auto"/>
            <w:right w:val="none" w:sz="0" w:space="0" w:color="auto"/>
          </w:divBdr>
        </w:div>
      </w:divsChild>
    </w:div>
    <w:div w:id="617101655">
      <w:bodyDiv w:val="1"/>
      <w:marLeft w:val="0"/>
      <w:marRight w:val="0"/>
      <w:marTop w:val="0"/>
      <w:marBottom w:val="0"/>
      <w:divBdr>
        <w:top w:val="none" w:sz="0" w:space="0" w:color="auto"/>
        <w:left w:val="none" w:sz="0" w:space="0" w:color="auto"/>
        <w:bottom w:val="none" w:sz="0" w:space="0" w:color="auto"/>
        <w:right w:val="none" w:sz="0" w:space="0" w:color="auto"/>
      </w:divBdr>
    </w:div>
    <w:div w:id="623922596">
      <w:bodyDiv w:val="1"/>
      <w:marLeft w:val="0"/>
      <w:marRight w:val="0"/>
      <w:marTop w:val="0"/>
      <w:marBottom w:val="0"/>
      <w:divBdr>
        <w:top w:val="none" w:sz="0" w:space="0" w:color="auto"/>
        <w:left w:val="none" w:sz="0" w:space="0" w:color="auto"/>
        <w:bottom w:val="none" w:sz="0" w:space="0" w:color="auto"/>
        <w:right w:val="none" w:sz="0" w:space="0" w:color="auto"/>
      </w:divBdr>
    </w:div>
    <w:div w:id="630018463">
      <w:bodyDiv w:val="1"/>
      <w:marLeft w:val="0"/>
      <w:marRight w:val="0"/>
      <w:marTop w:val="0"/>
      <w:marBottom w:val="0"/>
      <w:divBdr>
        <w:top w:val="none" w:sz="0" w:space="0" w:color="auto"/>
        <w:left w:val="none" w:sz="0" w:space="0" w:color="auto"/>
        <w:bottom w:val="none" w:sz="0" w:space="0" w:color="auto"/>
        <w:right w:val="none" w:sz="0" w:space="0" w:color="auto"/>
      </w:divBdr>
    </w:div>
    <w:div w:id="632254250">
      <w:bodyDiv w:val="1"/>
      <w:marLeft w:val="0"/>
      <w:marRight w:val="0"/>
      <w:marTop w:val="0"/>
      <w:marBottom w:val="0"/>
      <w:divBdr>
        <w:top w:val="none" w:sz="0" w:space="0" w:color="auto"/>
        <w:left w:val="none" w:sz="0" w:space="0" w:color="auto"/>
        <w:bottom w:val="none" w:sz="0" w:space="0" w:color="auto"/>
        <w:right w:val="none" w:sz="0" w:space="0" w:color="auto"/>
      </w:divBdr>
    </w:div>
    <w:div w:id="636954627">
      <w:bodyDiv w:val="1"/>
      <w:marLeft w:val="0"/>
      <w:marRight w:val="0"/>
      <w:marTop w:val="0"/>
      <w:marBottom w:val="0"/>
      <w:divBdr>
        <w:top w:val="none" w:sz="0" w:space="0" w:color="auto"/>
        <w:left w:val="none" w:sz="0" w:space="0" w:color="auto"/>
        <w:bottom w:val="none" w:sz="0" w:space="0" w:color="auto"/>
        <w:right w:val="none" w:sz="0" w:space="0" w:color="auto"/>
      </w:divBdr>
    </w:div>
    <w:div w:id="642465912">
      <w:bodyDiv w:val="1"/>
      <w:marLeft w:val="0"/>
      <w:marRight w:val="0"/>
      <w:marTop w:val="0"/>
      <w:marBottom w:val="0"/>
      <w:divBdr>
        <w:top w:val="none" w:sz="0" w:space="0" w:color="auto"/>
        <w:left w:val="none" w:sz="0" w:space="0" w:color="auto"/>
        <w:bottom w:val="none" w:sz="0" w:space="0" w:color="auto"/>
        <w:right w:val="none" w:sz="0" w:space="0" w:color="auto"/>
      </w:divBdr>
    </w:div>
    <w:div w:id="650986804">
      <w:bodyDiv w:val="1"/>
      <w:marLeft w:val="0"/>
      <w:marRight w:val="0"/>
      <w:marTop w:val="0"/>
      <w:marBottom w:val="0"/>
      <w:divBdr>
        <w:top w:val="none" w:sz="0" w:space="0" w:color="auto"/>
        <w:left w:val="none" w:sz="0" w:space="0" w:color="auto"/>
        <w:bottom w:val="none" w:sz="0" w:space="0" w:color="auto"/>
        <w:right w:val="none" w:sz="0" w:space="0" w:color="auto"/>
      </w:divBdr>
    </w:div>
    <w:div w:id="662121876">
      <w:bodyDiv w:val="1"/>
      <w:marLeft w:val="0"/>
      <w:marRight w:val="0"/>
      <w:marTop w:val="0"/>
      <w:marBottom w:val="0"/>
      <w:divBdr>
        <w:top w:val="none" w:sz="0" w:space="0" w:color="auto"/>
        <w:left w:val="none" w:sz="0" w:space="0" w:color="auto"/>
        <w:bottom w:val="none" w:sz="0" w:space="0" w:color="auto"/>
        <w:right w:val="none" w:sz="0" w:space="0" w:color="auto"/>
      </w:divBdr>
      <w:divsChild>
        <w:div w:id="911155437">
          <w:marLeft w:val="547"/>
          <w:marRight w:val="0"/>
          <w:marTop w:val="96"/>
          <w:marBottom w:val="0"/>
          <w:divBdr>
            <w:top w:val="none" w:sz="0" w:space="0" w:color="auto"/>
            <w:left w:val="none" w:sz="0" w:space="0" w:color="auto"/>
            <w:bottom w:val="none" w:sz="0" w:space="0" w:color="auto"/>
            <w:right w:val="none" w:sz="0" w:space="0" w:color="auto"/>
          </w:divBdr>
        </w:div>
      </w:divsChild>
    </w:div>
    <w:div w:id="675769322">
      <w:bodyDiv w:val="1"/>
      <w:marLeft w:val="0"/>
      <w:marRight w:val="0"/>
      <w:marTop w:val="0"/>
      <w:marBottom w:val="0"/>
      <w:divBdr>
        <w:top w:val="none" w:sz="0" w:space="0" w:color="auto"/>
        <w:left w:val="none" w:sz="0" w:space="0" w:color="auto"/>
        <w:bottom w:val="none" w:sz="0" w:space="0" w:color="auto"/>
        <w:right w:val="none" w:sz="0" w:space="0" w:color="auto"/>
      </w:divBdr>
    </w:div>
    <w:div w:id="733048515">
      <w:bodyDiv w:val="1"/>
      <w:marLeft w:val="0"/>
      <w:marRight w:val="0"/>
      <w:marTop w:val="0"/>
      <w:marBottom w:val="0"/>
      <w:divBdr>
        <w:top w:val="none" w:sz="0" w:space="0" w:color="auto"/>
        <w:left w:val="none" w:sz="0" w:space="0" w:color="auto"/>
        <w:bottom w:val="none" w:sz="0" w:space="0" w:color="auto"/>
        <w:right w:val="none" w:sz="0" w:space="0" w:color="auto"/>
      </w:divBdr>
    </w:div>
    <w:div w:id="782726105">
      <w:bodyDiv w:val="1"/>
      <w:marLeft w:val="0"/>
      <w:marRight w:val="0"/>
      <w:marTop w:val="0"/>
      <w:marBottom w:val="0"/>
      <w:divBdr>
        <w:top w:val="none" w:sz="0" w:space="0" w:color="auto"/>
        <w:left w:val="none" w:sz="0" w:space="0" w:color="auto"/>
        <w:bottom w:val="none" w:sz="0" w:space="0" w:color="auto"/>
        <w:right w:val="none" w:sz="0" w:space="0" w:color="auto"/>
      </w:divBdr>
    </w:div>
    <w:div w:id="805854092">
      <w:bodyDiv w:val="1"/>
      <w:marLeft w:val="0"/>
      <w:marRight w:val="0"/>
      <w:marTop w:val="0"/>
      <w:marBottom w:val="0"/>
      <w:divBdr>
        <w:top w:val="none" w:sz="0" w:space="0" w:color="auto"/>
        <w:left w:val="none" w:sz="0" w:space="0" w:color="auto"/>
        <w:bottom w:val="none" w:sz="0" w:space="0" w:color="auto"/>
        <w:right w:val="none" w:sz="0" w:space="0" w:color="auto"/>
      </w:divBdr>
    </w:div>
    <w:div w:id="815997510">
      <w:bodyDiv w:val="1"/>
      <w:marLeft w:val="0"/>
      <w:marRight w:val="0"/>
      <w:marTop w:val="0"/>
      <w:marBottom w:val="0"/>
      <w:divBdr>
        <w:top w:val="none" w:sz="0" w:space="0" w:color="auto"/>
        <w:left w:val="none" w:sz="0" w:space="0" w:color="auto"/>
        <w:bottom w:val="none" w:sz="0" w:space="0" w:color="auto"/>
        <w:right w:val="none" w:sz="0" w:space="0" w:color="auto"/>
      </w:divBdr>
    </w:div>
    <w:div w:id="829172039">
      <w:bodyDiv w:val="1"/>
      <w:marLeft w:val="0"/>
      <w:marRight w:val="0"/>
      <w:marTop w:val="0"/>
      <w:marBottom w:val="0"/>
      <w:divBdr>
        <w:top w:val="none" w:sz="0" w:space="0" w:color="auto"/>
        <w:left w:val="none" w:sz="0" w:space="0" w:color="auto"/>
        <w:bottom w:val="none" w:sz="0" w:space="0" w:color="auto"/>
        <w:right w:val="none" w:sz="0" w:space="0" w:color="auto"/>
      </w:divBdr>
    </w:div>
    <w:div w:id="835681567">
      <w:bodyDiv w:val="1"/>
      <w:marLeft w:val="0"/>
      <w:marRight w:val="0"/>
      <w:marTop w:val="0"/>
      <w:marBottom w:val="0"/>
      <w:divBdr>
        <w:top w:val="none" w:sz="0" w:space="0" w:color="auto"/>
        <w:left w:val="none" w:sz="0" w:space="0" w:color="auto"/>
        <w:bottom w:val="none" w:sz="0" w:space="0" w:color="auto"/>
        <w:right w:val="none" w:sz="0" w:space="0" w:color="auto"/>
      </w:divBdr>
    </w:div>
    <w:div w:id="844978338">
      <w:bodyDiv w:val="1"/>
      <w:marLeft w:val="0"/>
      <w:marRight w:val="0"/>
      <w:marTop w:val="0"/>
      <w:marBottom w:val="0"/>
      <w:divBdr>
        <w:top w:val="none" w:sz="0" w:space="0" w:color="auto"/>
        <w:left w:val="none" w:sz="0" w:space="0" w:color="auto"/>
        <w:bottom w:val="none" w:sz="0" w:space="0" w:color="auto"/>
        <w:right w:val="none" w:sz="0" w:space="0" w:color="auto"/>
      </w:divBdr>
    </w:div>
    <w:div w:id="866794247">
      <w:bodyDiv w:val="1"/>
      <w:marLeft w:val="0"/>
      <w:marRight w:val="0"/>
      <w:marTop w:val="0"/>
      <w:marBottom w:val="0"/>
      <w:divBdr>
        <w:top w:val="none" w:sz="0" w:space="0" w:color="auto"/>
        <w:left w:val="none" w:sz="0" w:space="0" w:color="auto"/>
        <w:bottom w:val="none" w:sz="0" w:space="0" w:color="auto"/>
        <w:right w:val="none" w:sz="0" w:space="0" w:color="auto"/>
      </w:divBdr>
    </w:div>
    <w:div w:id="892618469">
      <w:bodyDiv w:val="1"/>
      <w:marLeft w:val="0"/>
      <w:marRight w:val="0"/>
      <w:marTop w:val="0"/>
      <w:marBottom w:val="0"/>
      <w:divBdr>
        <w:top w:val="none" w:sz="0" w:space="0" w:color="auto"/>
        <w:left w:val="none" w:sz="0" w:space="0" w:color="auto"/>
        <w:bottom w:val="none" w:sz="0" w:space="0" w:color="auto"/>
        <w:right w:val="none" w:sz="0" w:space="0" w:color="auto"/>
      </w:divBdr>
    </w:div>
    <w:div w:id="935480627">
      <w:bodyDiv w:val="1"/>
      <w:marLeft w:val="0"/>
      <w:marRight w:val="0"/>
      <w:marTop w:val="0"/>
      <w:marBottom w:val="0"/>
      <w:divBdr>
        <w:top w:val="none" w:sz="0" w:space="0" w:color="auto"/>
        <w:left w:val="none" w:sz="0" w:space="0" w:color="auto"/>
        <w:bottom w:val="none" w:sz="0" w:space="0" w:color="auto"/>
        <w:right w:val="none" w:sz="0" w:space="0" w:color="auto"/>
      </w:divBdr>
    </w:div>
    <w:div w:id="955453642">
      <w:bodyDiv w:val="1"/>
      <w:marLeft w:val="0"/>
      <w:marRight w:val="0"/>
      <w:marTop w:val="0"/>
      <w:marBottom w:val="0"/>
      <w:divBdr>
        <w:top w:val="none" w:sz="0" w:space="0" w:color="auto"/>
        <w:left w:val="none" w:sz="0" w:space="0" w:color="auto"/>
        <w:bottom w:val="none" w:sz="0" w:space="0" w:color="auto"/>
        <w:right w:val="none" w:sz="0" w:space="0" w:color="auto"/>
      </w:divBdr>
    </w:div>
    <w:div w:id="988559571">
      <w:bodyDiv w:val="1"/>
      <w:marLeft w:val="0"/>
      <w:marRight w:val="0"/>
      <w:marTop w:val="0"/>
      <w:marBottom w:val="0"/>
      <w:divBdr>
        <w:top w:val="none" w:sz="0" w:space="0" w:color="auto"/>
        <w:left w:val="none" w:sz="0" w:space="0" w:color="auto"/>
        <w:bottom w:val="none" w:sz="0" w:space="0" w:color="auto"/>
        <w:right w:val="none" w:sz="0" w:space="0" w:color="auto"/>
      </w:divBdr>
    </w:div>
    <w:div w:id="1031028376">
      <w:bodyDiv w:val="1"/>
      <w:marLeft w:val="0"/>
      <w:marRight w:val="0"/>
      <w:marTop w:val="0"/>
      <w:marBottom w:val="0"/>
      <w:divBdr>
        <w:top w:val="none" w:sz="0" w:space="0" w:color="auto"/>
        <w:left w:val="none" w:sz="0" w:space="0" w:color="auto"/>
        <w:bottom w:val="none" w:sz="0" w:space="0" w:color="auto"/>
        <w:right w:val="none" w:sz="0" w:space="0" w:color="auto"/>
      </w:divBdr>
    </w:div>
    <w:div w:id="1077895742">
      <w:bodyDiv w:val="1"/>
      <w:marLeft w:val="0"/>
      <w:marRight w:val="0"/>
      <w:marTop w:val="0"/>
      <w:marBottom w:val="0"/>
      <w:divBdr>
        <w:top w:val="none" w:sz="0" w:space="0" w:color="auto"/>
        <w:left w:val="none" w:sz="0" w:space="0" w:color="auto"/>
        <w:bottom w:val="none" w:sz="0" w:space="0" w:color="auto"/>
        <w:right w:val="none" w:sz="0" w:space="0" w:color="auto"/>
      </w:divBdr>
    </w:div>
    <w:div w:id="1088379544">
      <w:bodyDiv w:val="1"/>
      <w:marLeft w:val="0"/>
      <w:marRight w:val="0"/>
      <w:marTop w:val="0"/>
      <w:marBottom w:val="0"/>
      <w:divBdr>
        <w:top w:val="none" w:sz="0" w:space="0" w:color="auto"/>
        <w:left w:val="none" w:sz="0" w:space="0" w:color="auto"/>
        <w:bottom w:val="none" w:sz="0" w:space="0" w:color="auto"/>
        <w:right w:val="none" w:sz="0" w:space="0" w:color="auto"/>
      </w:divBdr>
    </w:div>
    <w:div w:id="1105884421">
      <w:bodyDiv w:val="1"/>
      <w:marLeft w:val="0"/>
      <w:marRight w:val="0"/>
      <w:marTop w:val="0"/>
      <w:marBottom w:val="0"/>
      <w:divBdr>
        <w:top w:val="none" w:sz="0" w:space="0" w:color="auto"/>
        <w:left w:val="none" w:sz="0" w:space="0" w:color="auto"/>
        <w:bottom w:val="none" w:sz="0" w:space="0" w:color="auto"/>
        <w:right w:val="none" w:sz="0" w:space="0" w:color="auto"/>
      </w:divBdr>
    </w:div>
    <w:div w:id="1119299182">
      <w:bodyDiv w:val="1"/>
      <w:marLeft w:val="0"/>
      <w:marRight w:val="0"/>
      <w:marTop w:val="0"/>
      <w:marBottom w:val="0"/>
      <w:divBdr>
        <w:top w:val="none" w:sz="0" w:space="0" w:color="auto"/>
        <w:left w:val="none" w:sz="0" w:space="0" w:color="auto"/>
        <w:bottom w:val="none" w:sz="0" w:space="0" w:color="auto"/>
        <w:right w:val="none" w:sz="0" w:space="0" w:color="auto"/>
      </w:divBdr>
    </w:div>
    <w:div w:id="1121072127">
      <w:bodyDiv w:val="1"/>
      <w:marLeft w:val="0"/>
      <w:marRight w:val="0"/>
      <w:marTop w:val="0"/>
      <w:marBottom w:val="0"/>
      <w:divBdr>
        <w:top w:val="none" w:sz="0" w:space="0" w:color="auto"/>
        <w:left w:val="none" w:sz="0" w:space="0" w:color="auto"/>
        <w:bottom w:val="none" w:sz="0" w:space="0" w:color="auto"/>
        <w:right w:val="none" w:sz="0" w:space="0" w:color="auto"/>
      </w:divBdr>
    </w:div>
    <w:div w:id="1126049007">
      <w:bodyDiv w:val="1"/>
      <w:marLeft w:val="0"/>
      <w:marRight w:val="0"/>
      <w:marTop w:val="0"/>
      <w:marBottom w:val="0"/>
      <w:divBdr>
        <w:top w:val="none" w:sz="0" w:space="0" w:color="auto"/>
        <w:left w:val="none" w:sz="0" w:space="0" w:color="auto"/>
        <w:bottom w:val="none" w:sz="0" w:space="0" w:color="auto"/>
        <w:right w:val="none" w:sz="0" w:space="0" w:color="auto"/>
      </w:divBdr>
    </w:div>
    <w:div w:id="1152522084">
      <w:bodyDiv w:val="1"/>
      <w:marLeft w:val="0"/>
      <w:marRight w:val="0"/>
      <w:marTop w:val="0"/>
      <w:marBottom w:val="0"/>
      <w:divBdr>
        <w:top w:val="none" w:sz="0" w:space="0" w:color="auto"/>
        <w:left w:val="none" w:sz="0" w:space="0" w:color="auto"/>
        <w:bottom w:val="none" w:sz="0" w:space="0" w:color="auto"/>
        <w:right w:val="none" w:sz="0" w:space="0" w:color="auto"/>
      </w:divBdr>
    </w:div>
    <w:div w:id="1176654847">
      <w:bodyDiv w:val="1"/>
      <w:marLeft w:val="0"/>
      <w:marRight w:val="0"/>
      <w:marTop w:val="0"/>
      <w:marBottom w:val="0"/>
      <w:divBdr>
        <w:top w:val="none" w:sz="0" w:space="0" w:color="auto"/>
        <w:left w:val="none" w:sz="0" w:space="0" w:color="auto"/>
        <w:bottom w:val="none" w:sz="0" w:space="0" w:color="auto"/>
        <w:right w:val="none" w:sz="0" w:space="0" w:color="auto"/>
      </w:divBdr>
    </w:div>
    <w:div w:id="1187331318">
      <w:bodyDiv w:val="1"/>
      <w:marLeft w:val="0"/>
      <w:marRight w:val="0"/>
      <w:marTop w:val="0"/>
      <w:marBottom w:val="0"/>
      <w:divBdr>
        <w:top w:val="none" w:sz="0" w:space="0" w:color="auto"/>
        <w:left w:val="none" w:sz="0" w:space="0" w:color="auto"/>
        <w:bottom w:val="none" w:sz="0" w:space="0" w:color="auto"/>
        <w:right w:val="none" w:sz="0" w:space="0" w:color="auto"/>
      </w:divBdr>
    </w:div>
    <w:div w:id="1200167763">
      <w:bodyDiv w:val="1"/>
      <w:marLeft w:val="0"/>
      <w:marRight w:val="0"/>
      <w:marTop w:val="0"/>
      <w:marBottom w:val="0"/>
      <w:divBdr>
        <w:top w:val="none" w:sz="0" w:space="0" w:color="auto"/>
        <w:left w:val="none" w:sz="0" w:space="0" w:color="auto"/>
        <w:bottom w:val="none" w:sz="0" w:space="0" w:color="auto"/>
        <w:right w:val="none" w:sz="0" w:space="0" w:color="auto"/>
      </w:divBdr>
    </w:div>
    <w:div w:id="1232277520">
      <w:bodyDiv w:val="1"/>
      <w:marLeft w:val="0"/>
      <w:marRight w:val="0"/>
      <w:marTop w:val="0"/>
      <w:marBottom w:val="0"/>
      <w:divBdr>
        <w:top w:val="none" w:sz="0" w:space="0" w:color="auto"/>
        <w:left w:val="none" w:sz="0" w:space="0" w:color="auto"/>
        <w:bottom w:val="none" w:sz="0" w:space="0" w:color="auto"/>
        <w:right w:val="none" w:sz="0" w:space="0" w:color="auto"/>
      </w:divBdr>
    </w:div>
    <w:div w:id="1232305657">
      <w:bodyDiv w:val="1"/>
      <w:marLeft w:val="0"/>
      <w:marRight w:val="0"/>
      <w:marTop w:val="0"/>
      <w:marBottom w:val="0"/>
      <w:divBdr>
        <w:top w:val="none" w:sz="0" w:space="0" w:color="auto"/>
        <w:left w:val="none" w:sz="0" w:space="0" w:color="auto"/>
        <w:bottom w:val="none" w:sz="0" w:space="0" w:color="auto"/>
        <w:right w:val="none" w:sz="0" w:space="0" w:color="auto"/>
      </w:divBdr>
    </w:div>
    <w:div w:id="1257323706">
      <w:bodyDiv w:val="1"/>
      <w:marLeft w:val="0"/>
      <w:marRight w:val="0"/>
      <w:marTop w:val="0"/>
      <w:marBottom w:val="0"/>
      <w:divBdr>
        <w:top w:val="none" w:sz="0" w:space="0" w:color="auto"/>
        <w:left w:val="none" w:sz="0" w:space="0" w:color="auto"/>
        <w:bottom w:val="none" w:sz="0" w:space="0" w:color="auto"/>
        <w:right w:val="none" w:sz="0" w:space="0" w:color="auto"/>
      </w:divBdr>
    </w:div>
    <w:div w:id="1264991972">
      <w:bodyDiv w:val="1"/>
      <w:marLeft w:val="0"/>
      <w:marRight w:val="0"/>
      <w:marTop w:val="0"/>
      <w:marBottom w:val="0"/>
      <w:divBdr>
        <w:top w:val="none" w:sz="0" w:space="0" w:color="auto"/>
        <w:left w:val="none" w:sz="0" w:space="0" w:color="auto"/>
        <w:bottom w:val="none" w:sz="0" w:space="0" w:color="auto"/>
        <w:right w:val="none" w:sz="0" w:space="0" w:color="auto"/>
      </w:divBdr>
    </w:div>
    <w:div w:id="1266041672">
      <w:bodyDiv w:val="1"/>
      <w:marLeft w:val="0"/>
      <w:marRight w:val="0"/>
      <w:marTop w:val="0"/>
      <w:marBottom w:val="0"/>
      <w:divBdr>
        <w:top w:val="none" w:sz="0" w:space="0" w:color="auto"/>
        <w:left w:val="none" w:sz="0" w:space="0" w:color="auto"/>
        <w:bottom w:val="none" w:sz="0" w:space="0" w:color="auto"/>
        <w:right w:val="none" w:sz="0" w:space="0" w:color="auto"/>
      </w:divBdr>
    </w:div>
    <w:div w:id="1269658997">
      <w:bodyDiv w:val="1"/>
      <w:marLeft w:val="0"/>
      <w:marRight w:val="0"/>
      <w:marTop w:val="0"/>
      <w:marBottom w:val="0"/>
      <w:divBdr>
        <w:top w:val="none" w:sz="0" w:space="0" w:color="auto"/>
        <w:left w:val="none" w:sz="0" w:space="0" w:color="auto"/>
        <w:bottom w:val="none" w:sz="0" w:space="0" w:color="auto"/>
        <w:right w:val="none" w:sz="0" w:space="0" w:color="auto"/>
      </w:divBdr>
    </w:div>
    <w:div w:id="1290091900">
      <w:bodyDiv w:val="1"/>
      <w:marLeft w:val="0"/>
      <w:marRight w:val="0"/>
      <w:marTop w:val="0"/>
      <w:marBottom w:val="0"/>
      <w:divBdr>
        <w:top w:val="none" w:sz="0" w:space="0" w:color="auto"/>
        <w:left w:val="none" w:sz="0" w:space="0" w:color="auto"/>
        <w:bottom w:val="none" w:sz="0" w:space="0" w:color="auto"/>
        <w:right w:val="none" w:sz="0" w:space="0" w:color="auto"/>
      </w:divBdr>
      <w:divsChild>
        <w:div w:id="1140537373">
          <w:marLeft w:val="547"/>
          <w:marRight w:val="0"/>
          <w:marTop w:val="96"/>
          <w:marBottom w:val="0"/>
          <w:divBdr>
            <w:top w:val="none" w:sz="0" w:space="0" w:color="auto"/>
            <w:left w:val="none" w:sz="0" w:space="0" w:color="auto"/>
            <w:bottom w:val="none" w:sz="0" w:space="0" w:color="auto"/>
            <w:right w:val="none" w:sz="0" w:space="0" w:color="auto"/>
          </w:divBdr>
        </w:div>
      </w:divsChild>
    </w:div>
    <w:div w:id="1299991985">
      <w:bodyDiv w:val="1"/>
      <w:marLeft w:val="0"/>
      <w:marRight w:val="0"/>
      <w:marTop w:val="0"/>
      <w:marBottom w:val="0"/>
      <w:divBdr>
        <w:top w:val="none" w:sz="0" w:space="0" w:color="auto"/>
        <w:left w:val="none" w:sz="0" w:space="0" w:color="auto"/>
        <w:bottom w:val="none" w:sz="0" w:space="0" w:color="auto"/>
        <w:right w:val="none" w:sz="0" w:space="0" w:color="auto"/>
      </w:divBdr>
    </w:div>
    <w:div w:id="1326008488">
      <w:bodyDiv w:val="1"/>
      <w:marLeft w:val="0"/>
      <w:marRight w:val="0"/>
      <w:marTop w:val="0"/>
      <w:marBottom w:val="0"/>
      <w:divBdr>
        <w:top w:val="none" w:sz="0" w:space="0" w:color="auto"/>
        <w:left w:val="none" w:sz="0" w:space="0" w:color="auto"/>
        <w:bottom w:val="none" w:sz="0" w:space="0" w:color="auto"/>
        <w:right w:val="none" w:sz="0" w:space="0" w:color="auto"/>
      </w:divBdr>
      <w:divsChild>
        <w:div w:id="732972472">
          <w:marLeft w:val="547"/>
          <w:marRight w:val="0"/>
          <w:marTop w:val="96"/>
          <w:marBottom w:val="0"/>
          <w:divBdr>
            <w:top w:val="none" w:sz="0" w:space="0" w:color="auto"/>
            <w:left w:val="none" w:sz="0" w:space="0" w:color="auto"/>
            <w:bottom w:val="none" w:sz="0" w:space="0" w:color="auto"/>
            <w:right w:val="none" w:sz="0" w:space="0" w:color="auto"/>
          </w:divBdr>
        </w:div>
      </w:divsChild>
    </w:div>
    <w:div w:id="1344431002">
      <w:bodyDiv w:val="1"/>
      <w:marLeft w:val="0"/>
      <w:marRight w:val="0"/>
      <w:marTop w:val="0"/>
      <w:marBottom w:val="0"/>
      <w:divBdr>
        <w:top w:val="none" w:sz="0" w:space="0" w:color="auto"/>
        <w:left w:val="none" w:sz="0" w:space="0" w:color="auto"/>
        <w:bottom w:val="none" w:sz="0" w:space="0" w:color="auto"/>
        <w:right w:val="none" w:sz="0" w:space="0" w:color="auto"/>
      </w:divBdr>
    </w:div>
    <w:div w:id="1361514976">
      <w:bodyDiv w:val="1"/>
      <w:marLeft w:val="0"/>
      <w:marRight w:val="0"/>
      <w:marTop w:val="0"/>
      <w:marBottom w:val="0"/>
      <w:divBdr>
        <w:top w:val="none" w:sz="0" w:space="0" w:color="auto"/>
        <w:left w:val="none" w:sz="0" w:space="0" w:color="auto"/>
        <w:bottom w:val="none" w:sz="0" w:space="0" w:color="auto"/>
        <w:right w:val="none" w:sz="0" w:space="0" w:color="auto"/>
      </w:divBdr>
    </w:div>
    <w:div w:id="1396851903">
      <w:bodyDiv w:val="1"/>
      <w:marLeft w:val="0"/>
      <w:marRight w:val="0"/>
      <w:marTop w:val="0"/>
      <w:marBottom w:val="0"/>
      <w:divBdr>
        <w:top w:val="none" w:sz="0" w:space="0" w:color="auto"/>
        <w:left w:val="none" w:sz="0" w:space="0" w:color="auto"/>
        <w:bottom w:val="none" w:sz="0" w:space="0" w:color="auto"/>
        <w:right w:val="none" w:sz="0" w:space="0" w:color="auto"/>
      </w:divBdr>
    </w:div>
    <w:div w:id="1431926934">
      <w:bodyDiv w:val="1"/>
      <w:marLeft w:val="0"/>
      <w:marRight w:val="0"/>
      <w:marTop w:val="0"/>
      <w:marBottom w:val="0"/>
      <w:divBdr>
        <w:top w:val="none" w:sz="0" w:space="0" w:color="auto"/>
        <w:left w:val="none" w:sz="0" w:space="0" w:color="auto"/>
        <w:bottom w:val="none" w:sz="0" w:space="0" w:color="auto"/>
        <w:right w:val="none" w:sz="0" w:space="0" w:color="auto"/>
      </w:divBdr>
    </w:div>
    <w:div w:id="1433819510">
      <w:bodyDiv w:val="1"/>
      <w:marLeft w:val="0"/>
      <w:marRight w:val="0"/>
      <w:marTop w:val="0"/>
      <w:marBottom w:val="0"/>
      <w:divBdr>
        <w:top w:val="none" w:sz="0" w:space="0" w:color="auto"/>
        <w:left w:val="none" w:sz="0" w:space="0" w:color="auto"/>
        <w:bottom w:val="none" w:sz="0" w:space="0" w:color="auto"/>
        <w:right w:val="none" w:sz="0" w:space="0" w:color="auto"/>
      </w:divBdr>
      <w:divsChild>
        <w:div w:id="23412950">
          <w:marLeft w:val="0"/>
          <w:marRight w:val="0"/>
          <w:marTop w:val="0"/>
          <w:marBottom w:val="0"/>
          <w:divBdr>
            <w:top w:val="none" w:sz="0" w:space="0" w:color="auto"/>
            <w:left w:val="none" w:sz="0" w:space="0" w:color="auto"/>
            <w:bottom w:val="none" w:sz="0" w:space="0" w:color="auto"/>
            <w:right w:val="none" w:sz="0" w:space="0" w:color="auto"/>
          </w:divBdr>
        </w:div>
        <w:div w:id="166865334">
          <w:marLeft w:val="0"/>
          <w:marRight w:val="0"/>
          <w:marTop w:val="0"/>
          <w:marBottom w:val="0"/>
          <w:divBdr>
            <w:top w:val="none" w:sz="0" w:space="0" w:color="auto"/>
            <w:left w:val="none" w:sz="0" w:space="0" w:color="auto"/>
            <w:bottom w:val="none" w:sz="0" w:space="0" w:color="auto"/>
            <w:right w:val="none" w:sz="0" w:space="0" w:color="auto"/>
          </w:divBdr>
        </w:div>
        <w:div w:id="338241624">
          <w:marLeft w:val="0"/>
          <w:marRight w:val="0"/>
          <w:marTop w:val="0"/>
          <w:marBottom w:val="0"/>
          <w:divBdr>
            <w:top w:val="none" w:sz="0" w:space="0" w:color="auto"/>
            <w:left w:val="none" w:sz="0" w:space="0" w:color="auto"/>
            <w:bottom w:val="none" w:sz="0" w:space="0" w:color="auto"/>
            <w:right w:val="none" w:sz="0" w:space="0" w:color="auto"/>
          </w:divBdr>
        </w:div>
        <w:div w:id="521668450">
          <w:marLeft w:val="0"/>
          <w:marRight w:val="0"/>
          <w:marTop w:val="0"/>
          <w:marBottom w:val="0"/>
          <w:divBdr>
            <w:top w:val="none" w:sz="0" w:space="0" w:color="auto"/>
            <w:left w:val="none" w:sz="0" w:space="0" w:color="auto"/>
            <w:bottom w:val="none" w:sz="0" w:space="0" w:color="auto"/>
            <w:right w:val="none" w:sz="0" w:space="0" w:color="auto"/>
          </w:divBdr>
        </w:div>
        <w:div w:id="528643722">
          <w:marLeft w:val="0"/>
          <w:marRight w:val="0"/>
          <w:marTop w:val="0"/>
          <w:marBottom w:val="0"/>
          <w:divBdr>
            <w:top w:val="none" w:sz="0" w:space="0" w:color="auto"/>
            <w:left w:val="none" w:sz="0" w:space="0" w:color="auto"/>
            <w:bottom w:val="none" w:sz="0" w:space="0" w:color="auto"/>
            <w:right w:val="none" w:sz="0" w:space="0" w:color="auto"/>
          </w:divBdr>
        </w:div>
        <w:div w:id="535505961">
          <w:marLeft w:val="0"/>
          <w:marRight w:val="0"/>
          <w:marTop w:val="0"/>
          <w:marBottom w:val="0"/>
          <w:divBdr>
            <w:top w:val="none" w:sz="0" w:space="0" w:color="auto"/>
            <w:left w:val="none" w:sz="0" w:space="0" w:color="auto"/>
            <w:bottom w:val="none" w:sz="0" w:space="0" w:color="auto"/>
            <w:right w:val="none" w:sz="0" w:space="0" w:color="auto"/>
          </w:divBdr>
        </w:div>
        <w:div w:id="666253466">
          <w:marLeft w:val="0"/>
          <w:marRight w:val="0"/>
          <w:marTop w:val="0"/>
          <w:marBottom w:val="0"/>
          <w:divBdr>
            <w:top w:val="none" w:sz="0" w:space="0" w:color="auto"/>
            <w:left w:val="none" w:sz="0" w:space="0" w:color="auto"/>
            <w:bottom w:val="none" w:sz="0" w:space="0" w:color="auto"/>
            <w:right w:val="none" w:sz="0" w:space="0" w:color="auto"/>
          </w:divBdr>
        </w:div>
        <w:div w:id="733771943">
          <w:marLeft w:val="0"/>
          <w:marRight w:val="0"/>
          <w:marTop w:val="0"/>
          <w:marBottom w:val="0"/>
          <w:divBdr>
            <w:top w:val="none" w:sz="0" w:space="0" w:color="auto"/>
            <w:left w:val="none" w:sz="0" w:space="0" w:color="auto"/>
            <w:bottom w:val="none" w:sz="0" w:space="0" w:color="auto"/>
            <w:right w:val="none" w:sz="0" w:space="0" w:color="auto"/>
          </w:divBdr>
        </w:div>
        <w:div w:id="877937431">
          <w:marLeft w:val="0"/>
          <w:marRight w:val="0"/>
          <w:marTop w:val="0"/>
          <w:marBottom w:val="0"/>
          <w:divBdr>
            <w:top w:val="none" w:sz="0" w:space="0" w:color="auto"/>
            <w:left w:val="none" w:sz="0" w:space="0" w:color="auto"/>
            <w:bottom w:val="none" w:sz="0" w:space="0" w:color="auto"/>
            <w:right w:val="none" w:sz="0" w:space="0" w:color="auto"/>
          </w:divBdr>
        </w:div>
        <w:div w:id="1052197436">
          <w:marLeft w:val="0"/>
          <w:marRight w:val="0"/>
          <w:marTop w:val="0"/>
          <w:marBottom w:val="0"/>
          <w:divBdr>
            <w:top w:val="none" w:sz="0" w:space="0" w:color="auto"/>
            <w:left w:val="none" w:sz="0" w:space="0" w:color="auto"/>
            <w:bottom w:val="none" w:sz="0" w:space="0" w:color="auto"/>
            <w:right w:val="none" w:sz="0" w:space="0" w:color="auto"/>
          </w:divBdr>
        </w:div>
        <w:div w:id="1101878419">
          <w:marLeft w:val="0"/>
          <w:marRight w:val="0"/>
          <w:marTop w:val="0"/>
          <w:marBottom w:val="0"/>
          <w:divBdr>
            <w:top w:val="none" w:sz="0" w:space="0" w:color="auto"/>
            <w:left w:val="none" w:sz="0" w:space="0" w:color="auto"/>
            <w:bottom w:val="none" w:sz="0" w:space="0" w:color="auto"/>
            <w:right w:val="none" w:sz="0" w:space="0" w:color="auto"/>
          </w:divBdr>
          <w:divsChild>
            <w:div w:id="551429681">
              <w:marLeft w:val="0"/>
              <w:marRight w:val="0"/>
              <w:marTop w:val="0"/>
              <w:marBottom w:val="0"/>
              <w:divBdr>
                <w:top w:val="none" w:sz="0" w:space="0" w:color="auto"/>
                <w:left w:val="none" w:sz="0" w:space="0" w:color="auto"/>
                <w:bottom w:val="none" w:sz="0" w:space="0" w:color="auto"/>
                <w:right w:val="none" w:sz="0" w:space="0" w:color="auto"/>
              </w:divBdr>
              <w:divsChild>
                <w:div w:id="47775999">
                  <w:marLeft w:val="0"/>
                  <w:marRight w:val="0"/>
                  <w:marTop w:val="0"/>
                  <w:marBottom w:val="0"/>
                  <w:divBdr>
                    <w:top w:val="none" w:sz="0" w:space="0" w:color="auto"/>
                    <w:left w:val="none" w:sz="0" w:space="0" w:color="auto"/>
                    <w:bottom w:val="none" w:sz="0" w:space="0" w:color="auto"/>
                    <w:right w:val="none" w:sz="0" w:space="0" w:color="auto"/>
                  </w:divBdr>
                </w:div>
                <w:div w:id="69279175">
                  <w:marLeft w:val="0"/>
                  <w:marRight w:val="0"/>
                  <w:marTop w:val="0"/>
                  <w:marBottom w:val="0"/>
                  <w:divBdr>
                    <w:top w:val="none" w:sz="0" w:space="0" w:color="auto"/>
                    <w:left w:val="none" w:sz="0" w:space="0" w:color="auto"/>
                    <w:bottom w:val="none" w:sz="0" w:space="0" w:color="auto"/>
                    <w:right w:val="none" w:sz="0" w:space="0" w:color="auto"/>
                  </w:divBdr>
                </w:div>
                <w:div w:id="81489064">
                  <w:marLeft w:val="0"/>
                  <w:marRight w:val="0"/>
                  <w:marTop w:val="0"/>
                  <w:marBottom w:val="0"/>
                  <w:divBdr>
                    <w:top w:val="none" w:sz="0" w:space="0" w:color="auto"/>
                    <w:left w:val="none" w:sz="0" w:space="0" w:color="auto"/>
                    <w:bottom w:val="none" w:sz="0" w:space="0" w:color="auto"/>
                    <w:right w:val="none" w:sz="0" w:space="0" w:color="auto"/>
                  </w:divBdr>
                </w:div>
                <w:div w:id="104084213">
                  <w:marLeft w:val="0"/>
                  <w:marRight w:val="0"/>
                  <w:marTop w:val="0"/>
                  <w:marBottom w:val="0"/>
                  <w:divBdr>
                    <w:top w:val="none" w:sz="0" w:space="0" w:color="auto"/>
                    <w:left w:val="none" w:sz="0" w:space="0" w:color="auto"/>
                    <w:bottom w:val="none" w:sz="0" w:space="0" w:color="auto"/>
                    <w:right w:val="none" w:sz="0" w:space="0" w:color="auto"/>
                  </w:divBdr>
                </w:div>
                <w:div w:id="160584752">
                  <w:marLeft w:val="0"/>
                  <w:marRight w:val="0"/>
                  <w:marTop w:val="0"/>
                  <w:marBottom w:val="0"/>
                  <w:divBdr>
                    <w:top w:val="none" w:sz="0" w:space="0" w:color="auto"/>
                    <w:left w:val="none" w:sz="0" w:space="0" w:color="auto"/>
                    <w:bottom w:val="none" w:sz="0" w:space="0" w:color="auto"/>
                    <w:right w:val="none" w:sz="0" w:space="0" w:color="auto"/>
                  </w:divBdr>
                </w:div>
                <w:div w:id="228618419">
                  <w:marLeft w:val="0"/>
                  <w:marRight w:val="0"/>
                  <w:marTop w:val="0"/>
                  <w:marBottom w:val="0"/>
                  <w:divBdr>
                    <w:top w:val="none" w:sz="0" w:space="0" w:color="auto"/>
                    <w:left w:val="none" w:sz="0" w:space="0" w:color="auto"/>
                    <w:bottom w:val="none" w:sz="0" w:space="0" w:color="auto"/>
                    <w:right w:val="none" w:sz="0" w:space="0" w:color="auto"/>
                  </w:divBdr>
                </w:div>
                <w:div w:id="246229542">
                  <w:marLeft w:val="0"/>
                  <w:marRight w:val="0"/>
                  <w:marTop w:val="0"/>
                  <w:marBottom w:val="0"/>
                  <w:divBdr>
                    <w:top w:val="none" w:sz="0" w:space="0" w:color="auto"/>
                    <w:left w:val="none" w:sz="0" w:space="0" w:color="auto"/>
                    <w:bottom w:val="none" w:sz="0" w:space="0" w:color="auto"/>
                    <w:right w:val="none" w:sz="0" w:space="0" w:color="auto"/>
                  </w:divBdr>
                </w:div>
                <w:div w:id="408506120">
                  <w:marLeft w:val="0"/>
                  <w:marRight w:val="0"/>
                  <w:marTop w:val="0"/>
                  <w:marBottom w:val="0"/>
                  <w:divBdr>
                    <w:top w:val="none" w:sz="0" w:space="0" w:color="auto"/>
                    <w:left w:val="none" w:sz="0" w:space="0" w:color="auto"/>
                    <w:bottom w:val="none" w:sz="0" w:space="0" w:color="auto"/>
                    <w:right w:val="none" w:sz="0" w:space="0" w:color="auto"/>
                  </w:divBdr>
                </w:div>
                <w:div w:id="685980632">
                  <w:marLeft w:val="0"/>
                  <w:marRight w:val="0"/>
                  <w:marTop w:val="0"/>
                  <w:marBottom w:val="0"/>
                  <w:divBdr>
                    <w:top w:val="none" w:sz="0" w:space="0" w:color="auto"/>
                    <w:left w:val="none" w:sz="0" w:space="0" w:color="auto"/>
                    <w:bottom w:val="none" w:sz="0" w:space="0" w:color="auto"/>
                    <w:right w:val="none" w:sz="0" w:space="0" w:color="auto"/>
                  </w:divBdr>
                </w:div>
                <w:div w:id="735276228">
                  <w:marLeft w:val="0"/>
                  <w:marRight w:val="0"/>
                  <w:marTop w:val="0"/>
                  <w:marBottom w:val="0"/>
                  <w:divBdr>
                    <w:top w:val="none" w:sz="0" w:space="0" w:color="auto"/>
                    <w:left w:val="none" w:sz="0" w:space="0" w:color="auto"/>
                    <w:bottom w:val="none" w:sz="0" w:space="0" w:color="auto"/>
                    <w:right w:val="none" w:sz="0" w:space="0" w:color="auto"/>
                  </w:divBdr>
                </w:div>
                <w:div w:id="846208745">
                  <w:marLeft w:val="0"/>
                  <w:marRight w:val="0"/>
                  <w:marTop w:val="0"/>
                  <w:marBottom w:val="0"/>
                  <w:divBdr>
                    <w:top w:val="none" w:sz="0" w:space="0" w:color="auto"/>
                    <w:left w:val="none" w:sz="0" w:space="0" w:color="auto"/>
                    <w:bottom w:val="none" w:sz="0" w:space="0" w:color="auto"/>
                    <w:right w:val="none" w:sz="0" w:space="0" w:color="auto"/>
                  </w:divBdr>
                </w:div>
                <w:div w:id="972712677">
                  <w:marLeft w:val="0"/>
                  <w:marRight w:val="0"/>
                  <w:marTop w:val="0"/>
                  <w:marBottom w:val="0"/>
                  <w:divBdr>
                    <w:top w:val="none" w:sz="0" w:space="0" w:color="auto"/>
                    <w:left w:val="none" w:sz="0" w:space="0" w:color="auto"/>
                    <w:bottom w:val="none" w:sz="0" w:space="0" w:color="auto"/>
                    <w:right w:val="none" w:sz="0" w:space="0" w:color="auto"/>
                  </w:divBdr>
                </w:div>
                <w:div w:id="1108692924">
                  <w:marLeft w:val="0"/>
                  <w:marRight w:val="0"/>
                  <w:marTop w:val="0"/>
                  <w:marBottom w:val="0"/>
                  <w:divBdr>
                    <w:top w:val="none" w:sz="0" w:space="0" w:color="auto"/>
                    <w:left w:val="none" w:sz="0" w:space="0" w:color="auto"/>
                    <w:bottom w:val="none" w:sz="0" w:space="0" w:color="auto"/>
                    <w:right w:val="none" w:sz="0" w:space="0" w:color="auto"/>
                  </w:divBdr>
                </w:div>
                <w:div w:id="1240863888">
                  <w:marLeft w:val="0"/>
                  <w:marRight w:val="0"/>
                  <w:marTop w:val="0"/>
                  <w:marBottom w:val="0"/>
                  <w:divBdr>
                    <w:top w:val="none" w:sz="0" w:space="0" w:color="auto"/>
                    <w:left w:val="none" w:sz="0" w:space="0" w:color="auto"/>
                    <w:bottom w:val="none" w:sz="0" w:space="0" w:color="auto"/>
                    <w:right w:val="none" w:sz="0" w:space="0" w:color="auto"/>
                  </w:divBdr>
                </w:div>
                <w:div w:id="1568568888">
                  <w:marLeft w:val="0"/>
                  <w:marRight w:val="0"/>
                  <w:marTop w:val="0"/>
                  <w:marBottom w:val="0"/>
                  <w:divBdr>
                    <w:top w:val="none" w:sz="0" w:space="0" w:color="auto"/>
                    <w:left w:val="none" w:sz="0" w:space="0" w:color="auto"/>
                    <w:bottom w:val="none" w:sz="0" w:space="0" w:color="auto"/>
                    <w:right w:val="none" w:sz="0" w:space="0" w:color="auto"/>
                  </w:divBdr>
                </w:div>
                <w:div w:id="1573848701">
                  <w:marLeft w:val="0"/>
                  <w:marRight w:val="0"/>
                  <w:marTop w:val="0"/>
                  <w:marBottom w:val="0"/>
                  <w:divBdr>
                    <w:top w:val="none" w:sz="0" w:space="0" w:color="auto"/>
                    <w:left w:val="none" w:sz="0" w:space="0" w:color="auto"/>
                    <w:bottom w:val="none" w:sz="0" w:space="0" w:color="auto"/>
                    <w:right w:val="none" w:sz="0" w:space="0" w:color="auto"/>
                  </w:divBdr>
                </w:div>
                <w:div w:id="1601260356">
                  <w:marLeft w:val="0"/>
                  <w:marRight w:val="0"/>
                  <w:marTop w:val="0"/>
                  <w:marBottom w:val="0"/>
                  <w:divBdr>
                    <w:top w:val="none" w:sz="0" w:space="0" w:color="auto"/>
                    <w:left w:val="none" w:sz="0" w:space="0" w:color="auto"/>
                    <w:bottom w:val="none" w:sz="0" w:space="0" w:color="auto"/>
                    <w:right w:val="none" w:sz="0" w:space="0" w:color="auto"/>
                  </w:divBdr>
                </w:div>
                <w:div w:id="1790272621">
                  <w:marLeft w:val="0"/>
                  <w:marRight w:val="0"/>
                  <w:marTop w:val="0"/>
                  <w:marBottom w:val="0"/>
                  <w:divBdr>
                    <w:top w:val="none" w:sz="0" w:space="0" w:color="auto"/>
                    <w:left w:val="none" w:sz="0" w:space="0" w:color="auto"/>
                    <w:bottom w:val="none" w:sz="0" w:space="0" w:color="auto"/>
                    <w:right w:val="none" w:sz="0" w:space="0" w:color="auto"/>
                  </w:divBdr>
                </w:div>
                <w:div w:id="1816946702">
                  <w:marLeft w:val="0"/>
                  <w:marRight w:val="0"/>
                  <w:marTop w:val="0"/>
                  <w:marBottom w:val="0"/>
                  <w:divBdr>
                    <w:top w:val="none" w:sz="0" w:space="0" w:color="auto"/>
                    <w:left w:val="none" w:sz="0" w:space="0" w:color="auto"/>
                    <w:bottom w:val="none" w:sz="0" w:space="0" w:color="auto"/>
                    <w:right w:val="none" w:sz="0" w:space="0" w:color="auto"/>
                  </w:divBdr>
                </w:div>
                <w:div w:id="1834369520">
                  <w:marLeft w:val="0"/>
                  <w:marRight w:val="0"/>
                  <w:marTop w:val="0"/>
                  <w:marBottom w:val="0"/>
                  <w:divBdr>
                    <w:top w:val="none" w:sz="0" w:space="0" w:color="auto"/>
                    <w:left w:val="none" w:sz="0" w:space="0" w:color="auto"/>
                    <w:bottom w:val="none" w:sz="0" w:space="0" w:color="auto"/>
                    <w:right w:val="none" w:sz="0" w:space="0" w:color="auto"/>
                  </w:divBdr>
                </w:div>
                <w:div w:id="1910653948">
                  <w:marLeft w:val="0"/>
                  <w:marRight w:val="0"/>
                  <w:marTop w:val="0"/>
                  <w:marBottom w:val="0"/>
                  <w:divBdr>
                    <w:top w:val="none" w:sz="0" w:space="0" w:color="auto"/>
                    <w:left w:val="none" w:sz="0" w:space="0" w:color="auto"/>
                    <w:bottom w:val="none" w:sz="0" w:space="0" w:color="auto"/>
                    <w:right w:val="none" w:sz="0" w:space="0" w:color="auto"/>
                  </w:divBdr>
                </w:div>
                <w:div w:id="1960410681">
                  <w:marLeft w:val="0"/>
                  <w:marRight w:val="0"/>
                  <w:marTop w:val="0"/>
                  <w:marBottom w:val="0"/>
                  <w:divBdr>
                    <w:top w:val="none" w:sz="0" w:space="0" w:color="auto"/>
                    <w:left w:val="none" w:sz="0" w:space="0" w:color="auto"/>
                    <w:bottom w:val="none" w:sz="0" w:space="0" w:color="auto"/>
                    <w:right w:val="none" w:sz="0" w:space="0" w:color="auto"/>
                  </w:divBdr>
                </w:div>
                <w:div w:id="1998149311">
                  <w:marLeft w:val="0"/>
                  <w:marRight w:val="0"/>
                  <w:marTop w:val="0"/>
                  <w:marBottom w:val="0"/>
                  <w:divBdr>
                    <w:top w:val="none" w:sz="0" w:space="0" w:color="auto"/>
                    <w:left w:val="none" w:sz="0" w:space="0" w:color="auto"/>
                    <w:bottom w:val="none" w:sz="0" w:space="0" w:color="auto"/>
                    <w:right w:val="none" w:sz="0" w:space="0" w:color="auto"/>
                  </w:divBdr>
                </w:div>
                <w:div w:id="211655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940358">
          <w:marLeft w:val="0"/>
          <w:marRight w:val="0"/>
          <w:marTop w:val="0"/>
          <w:marBottom w:val="0"/>
          <w:divBdr>
            <w:top w:val="none" w:sz="0" w:space="0" w:color="auto"/>
            <w:left w:val="none" w:sz="0" w:space="0" w:color="auto"/>
            <w:bottom w:val="none" w:sz="0" w:space="0" w:color="auto"/>
            <w:right w:val="none" w:sz="0" w:space="0" w:color="auto"/>
          </w:divBdr>
        </w:div>
        <w:div w:id="1157260125">
          <w:marLeft w:val="0"/>
          <w:marRight w:val="0"/>
          <w:marTop w:val="0"/>
          <w:marBottom w:val="0"/>
          <w:divBdr>
            <w:top w:val="none" w:sz="0" w:space="0" w:color="auto"/>
            <w:left w:val="none" w:sz="0" w:space="0" w:color="auto"/>
            <w:bottom w:val="none" w:sz="0" w:space="0" w:color="auto"/>
            <w:right w:val="none" w:sz="0" w:space="0" w:color="auto"/>
          </w:divBdr>
        </w:div>
        <w:div w:id="1285893192">
          <w:marLeft w:val="0"/>
          <w:marRight w:val="0"/>
          <w:marTop w:val="0"/>
          <w:marBottom w:val="0"/>
          <w:divBdr>
            <w:top w:val="none" w:sz="0" w:space="0" w:color="auto"/>
            <w:left w:val="none" w:sz="0" w:space="0" w:color="auto"/>
            <w:bottom w:val="none" w:sz="0" w:space="0" w:color="auto"/>
            <w:right w:val="none" w:sz="0" w:space="0" w:color="auto"/>
          </w:divBdr>
        </w:div>
        <w:div w:id="1309869991">
          <w:marLeft w:val="0"/>
          <w:marRight w:val="0"/>
          <w:marTop w:val="0"/>
          <w:marBottom w:val="0"/>
          <w:divBdr>
            <w:top w:val="none" w:sz="0" w:space="0" w:color="auto"/>
            <w:left w:val="none" w:sz="0" w:space="0" w:color="auto"/>
            <w:bottom w:val="none" w:sz="0" w:space="0" w:color="auto"/>
            <w:right w:val="none" w:sz="0" w:space="0" w:color="auto"/>
          </w:divBdr>
        </w:div>
        <w:div w:id="1336807693">
          <w:marLeft w:val="0"/>
          <w:marRight w:val="0"/>
          <w:marTop w:val="0"/>
          <w:marBottom w:val="0"/>
          <w:divBdr>
            <w:top w:val="none" w:sz="0" w:space="0" w:color="auto"/>
            <w:left w:val="none" w:sz="0" w:space="0" w:color="auto"/>
            <w:bottom w:val="none" w:sz="0" w:space="0" w:color="auto"/>
            <w:right w:val="none" w:sz="0" w:space="0" w:color="auto"/>
          </w:divBdr>
        </w:div>
        <w:div w:id="1408918761">
          <w:marLeft w:val="0"/>
          <w:marRight w:val="0"/>
          <w:marTop w:val="0"/>
          <w:marBottom w:val="0"/>
          <w:divBdr>
            <w:top w:val="none" w:sz="0" w:space="0" w:color="auto"/>
            <w:left w:val="none" w:sz="0" w:space="0" w:color="auto"/>
            <w:bottom w:val="none" w:sz="0" w:space="0" w:color="auto"/>
            <w:right w:val="none" w:sz="0" w:space="0" w:color="auto"/>
          </w:divBdr>
        </w:div>
        <w:div w:id="1501694478">
          <w:marLeft w:val="0"/>
          <w:marRight w:val="0"/>
          <w:marTop w:val="0"/>
          <w:marBottom w:val="0"/>
          <w:divBdr>
            <w:top w:val="none" w:sz="0" w:space="0" w:color="auto"/>
            <w:left w:val="none" w:sz="0" w:space="0" w:color="auto"/>
            <w:bottom w:val="none" w:sz="0" w:space="0" w:color="auto"/>
            <w:right w:val="none" w:sz="0" w:space="0" w:color="auto"/>
          </w:divBdr>
        </w:div>
        <w:div w:id="1533615655">
          <w:marLeft w:val="0"/>
          <w:marRight w:val="0"/>
          <w:marTop w:val="0"/>
          <w:marBottom w:val="0"/>
          <w:divBdr>
            <w:top w:val="none" w:sz="0" w:space="0" w:color="auto"/>
            <w:left w:val="none" w:sz="0" w:space="0" w:color="auto"/>
            <w:bottom w:val="none" w:sz="0" w:space="0" w:color="auto"/>
            <w:right w:val="none" w:sz="0" w:space="0" w:color="auto"/>
          </w:divBdr>
        </w:div>
        <w:div w:id="1623421475">
          <w:marLeft w:val="0"/>
          <w:marRight w:val="0"/>
          <w:marTop w:val="0"/>
          <w:marBottom w:val="0"/>
          <w:divBdr>
            <w:top w:val="none" w:sz="0" w:space="0" w:color="auto"/>
            <w:left w:val="none" w:sz="0" w:space="0" w:color="auto"/>
            <w:bottom w:val="none" w:sz="0" w:space="0" w:color="auto"/>
            <w:right w:val="none" w:sz="0" w:space="0" w:color="auto"/>
          </w:divBdr>
        </w:div>
        <w:div w:id="1747073145">
          <w:marLeft w:val="0"/>
          <w:marRight w:val="0"/>
          <w:marTop w:val="0"/>
          <w:marBottom w:val="0"/>
          <w:divBdr>
            <w:top w:val="none" w:sz="0" w:space="0" w:color="auto"/>
            <w:left w:val="none" w:sz="0" w:space="0" w:color="auto"/>
            <w:bottom w:val="none" w:sz="0" w:space="0" w:color="auto"/>
            <w:right w:val="none" w:sz="0" w:space="0" w:color="auto"/>
          </w:divBdr>
        </w:div>
        <w:div w:id="1768504073">
          <w:marLeft w:val="0"/>
          <w:marRight w:val="0"/>
          <w:marTop w:val="0"/>
          <w:marBottom w:val="0"/>
          <w:divBdr>
            <w:top w:val="none" w:sz="0" w:space="0" w:color="auto"/>
            <w:left w:val="none" w:sz="0" w:space="0" w:color="auto"/>
            <w:bottom w:val="none" w:sz="0" w:space="0" w:color="auto"/>
            <w:right w:val="none" w:sz="0" w:space="0" w:color="auto"/>
          </w:divBdr>
        </w:div>
        <w:div w:id="1930504797">
          <w:marLeft w:val="0"/>
          <w:marRight w:val="0"/>
          <w:marTop w:val="0"/>
          <w:marBottom w:val="0"/>
          <w:divBdr>
            <w:top w:val="none" w:sz="0" w:space="0" w:color="auto"/>
            <w:left w:val="none" w:sz="0" w:space="0" w:color="auto"/>
            <w:bottom w:val="none" w:sz="0" w:space="0" w:color="auto"/>
            <w:right w:val="none" w:sz="0" w:space="0" w:color="auto"/>
          </w:divBdr>
        </w:div>
      </w:divsChild>
    </w:div>
    <w:div w:id="1446386833">
      <w:bodyDiv w:val="1"/>
      <w:marLeft w:val="0"/>
      <w:marRight w:val="0"/>
      <w:marTop w:val="0"/>
      <w:marBottom w:val="0"/>
      <w:divBdr>
        <w:top w:val="none" w:sz="0" w:space="0" w:color="auto"/>
        <w:left w:val="none" w:sz="0" w:space="0" w:color="auto"/>
        <w:bottom w:val="none" w:sz="0" w:space="0" w:color="auto"/>
        <w:right w:val="none" w:sz="0" w:space="0" w:color="auto"/>
      </w:divBdr>
      <w:divsChild>
        <w:div w:id="442967612">
          <w:marLeft w:val="547"/>
          <w:marRight w:val="0"/>
          <w:marTop w:val="96"/>
          <w:marBottom w:val="0"/>
          <w:divBdr>
            <w:top w:val="none" w:sz="0" w:space="0" w:color="auto"/>
            <w:left w:val="none" w:sz="0" w:space="0" w:color="auto"/>
            <w:bottom w:val="none" w:sz="0" w:space="0" w:color="auto"/>
            <w:right w:val="none" w:sz="0" w:space="0" w:color="auto"/>
          </w:divBdr>
        </w:div>
      </w:divsChild>
    </w:div>
    <w:div w:id="1509056263">
      <w:bodyDiv w:val="1"/>
      <w:marLeft w:val="0"/>
      <w:marRight w:val="0"/>
      <w:marTop w:val="0"/>
      <w:marBottom w:val="0"/>
      <w:divBdr>
        <w:top w:val="none" w:sz="0" w:space="0" w:color="auto"/>
        <w:left w:val="none" w:sz="0" w:space="0" w:color="auto"/>
        <w:bottom w:val="none" w:sz="0" w:space="0" w:color="auto"/>
        <w:right w:val="none" w:sz="0" w:space="0" w:color="auto"/>
      </w:divBdr>
    </w:div>
    <w:div w:id="1520581388">
      <w:bodyDiv w:val="1"/>
      <w:marLeft w:val="0"/>
      <w:marRight w:val="0"/>
      <w:marTop w:val="0"/>
      <w:marBottom w:val="0"/>
      <w:divBdr>
        <w:top w:val="none" w:sz="0" w:space="0" w:color="auto"/>
        <w:left w:val="none" w:sz="0" w:space="0" w:color="auto"/>
        <w:bottom w:val="none" w:sz="0" w:space="0" w:color="auto"/>
        <w:right w:val="none" w:sz="0" w:space="0" w:color="auto"/>
      </w:divBdr>
    </w:div>
    <w:div w:id="1533610900">
      <w:bodyDiv w:val="1"/>
      <w:marLeft w:val="0"/>
      <w:marRight w:val="0"/>
      <w:marTop w:val="0"/>
      <w:marBottom w:val="0"/>
      <w:divBdr>
        <w:top w:val="none" w:sz="0" w:space="0" w:color="auto"/>
        <w:left w:val="none" w:sz="0" w:space="0" w:color="auto"/>
        <w:bottom w:val="none" w:sz="0" w:space="0" w:color="auto"/>
        <w:right w:val="none" w:sz="0" w:space="0" w:color="auto"/>
      </w:divBdr>
    </w:div>
    <w:div w:id="1539050888">
      <w:bodyDiv w:val="1"/>
      <w:marLeft w:val="0"/>
      <w:marRight w:val="0"/>
      <w:marTop w:val="0"/>
      <w:marBottom w:val="0"/>
      <w:divBdr>
        <w:top w:val="none" w:sz="0" w:space="0" w:color="auto"/>
        <w:left w:val="none" w:sz="0" w:space="0" w:color="auto"/>
        <w:bottom w:val="none" w:sz="0" w:space="0" w:color="auto"/>
        <w:right w:val="none" w:sz="0" w:space="0" w:color="auto"/>
      </w:divBdr>
    </w:div>
    <w:div w:id="1567377636">
      <w:bodyDiv w:val="1"/>
      <w:marLeft w:val="0"/>
      <w:marRight w:val="0"/>
      <w:marTop w:val="0"/>
      <w:marBottom w:val="0"/>
      <w:divBdr>
        <w:top w:val="none" w:sz="0" w:space="0" w:color="auto"/>
        <w:left w:val="none" w:sz="0" w:space="0" w:color="auto"/>
        <w:bottom w:val="none" w:sz="0" w:space="0" w:color="auto"/>
        <w:right w:val="none" w:sz="0" w:space="0" w:color="auto"/>
      </w:divBdr>
    </w:div>
    <w:div w:id="1569805218">
      <w:bodyDiv w:val="1"/>
      <w:marLeft w:val="0"/>
      <w:marRight w:val="0"/>
      <w:marTop w:val="0"/>
      <w:marBottom w:val="0"/>
      <w:divBdr>
        <w:top w:val="none" w:sz="0" w:space="0" w:color="auto"/>
        <w:left w:val="none" w:sz="0" w:space="0" w:color="auto"/>
        <w:bottom w:val="none" w:sz="0" w:space="0" w:color="auto"/>
        <w:right w:val="none" w:sz="0" w:space="0" w:color="auto"/>
      </w:divBdr>
    </w:div>
    <w:div w:id="1590967685">
      <w:bodyDiv w:val="1"/>
      <w:marLeft w:val="0"/>
      <w:marRight w:val="0"/>
      <w:marTop w:val="0"/>
      <w:marBottom w:val="0"/>
      <w:divBdr>
        <w:top w:val="none" w:sz="0" w:space="0" w:color="auto"/>
        <w:left w:val="none" w:sz="0" w:space="0" w:color="auto"/>
        <w:bottom w:val="none" w:sz="0" w:space="0" w:color="auto"/>
        <w:right w:val="none" w:sz="0" w:space="0" w:color="auto"/>
      </w:divBdr>
    </w:div>
    <w:div w:id="1629624441">
      <w:bodyDiv w:val="1"/>
      <w:marLeft w:val="0"/>
      <w:marRight w:val="0"/>
      <w:marTop w:val="0"/>
      <w:marBottom w:val="0"/>
      <w:divBdr>
        <w:top w:val="none" w:sz="0" w:space="0" w:color="auto"/>
        <w:left w:val="none" w:sz="0" w:space="0" w:color="auto"/>
        <w:bottom w:val="none" w:sz="0" w:space="0" w:color="auto"/>
        <w:right w:val="none" w:sz="0" w:space="0" w:color="auto"/>
      </w:divBdr>
    </w:div>
    <w:div w:id="1643122329">
      <w:bodyDiv w:val="1"/>
      <w:marLeft w:val="0"/>
      <w:marRight w:val="0"/>
      <w:marTop w:val="0"/>
      <w:marBottom w:val="0"/>
      <w:divBdr>
        <w:top w:val="none" w:sz="0" w:space="0" w:color="auto"/>
        <w:left w:val="none" w:sz="0" w:space="0" w:color="auto"/>
        <w:bottom w:val="none" w:sz="0" w:space="0" w:color="auto"/>
        <w:right w:val="none" w:sz="0" w:space="0" w:color="auto"/>
      </w:divBdr>
    </w:div>
    <w:div w:id="1679846882">
      <w:bodyDiv w:val="1"/>
      <w:marLeft w:val="0"/>
      <w:marRight w:val="0"/>
      <w:marTop w:val="0"/>
      <w:marBottom w:val="0"/>
      <w:divBdr>
        <w:top w:val="none" w:sz="0" w:space="0" w:color="auto"/>
        <w:left w:val="none" w:sz="0" w:space="0" w:color="auto"/>
        <w:bottom w:val="none" w:sz="0" w:space="0" w:color="auto"/>
        <w:right w:val="none" w:sz="0" w:space="0" w:color="auto"/>
      </w:divBdr>
    </w:div>
    <w:div w:id="1713577138">
      <w:bodyDiv w:val="1"/>
      <w:marLeft w:val="0"/>
      <w:marRight w:val="0"/>
      <w:marTop w:val="0"/>
      <w:marBottom w:val="0"/>
      <w:divBdr>
        <w:top w:val="none" w:sz="0" w:space="0" w:color="auto"/>
        <w:left w:val="none" w:sz="0" w:space="0" w:color="auto"/>
        <w:bottom w:val="none" w:sz="0" w:space="0" w:color="auto"/>
        <w:right w:val="none" w:sz="0" w:space="0" w:color="auto"/>
      </w:divBdr>
    </w:div>
    <w:div w:id="1718092377">
      <w:bodyDiv w:val="1"/>
      <w:marLeft w:val="0"/>
      <w:marRight w:val="0"/>
      <w:marTop w:val="0"/>
      <w:marBottom w:val="0"/>
      <w:divBdr>
        <w:top w:val="none" w:sz="0" w:space="0" w:color="auto"/>
        <w:left w:val="none" w:sz="0" w:space="0" w:color="auto"/>
        <w:bottom w:val="none" w:sz="0" w:space="0" w:color="auto"/>
        <w:right w:val="none" w:sz="0" w:space="0" w:color="auto"/>
      </w:divBdr>
    </w:div>
    <w:div w:id="1746685375">
      <w:bodyDiv w:val="1"/>
      <w:marLeft w:val="0"/>
      <w:marRight w:val="0"/>
      <w:marTop w:val="0"/>
      <w:marBottom w:val="0"/>
      <w:divBdr>
        <w:top w:val="none" w:sz="0" w:space="0" w:color="auto"/>
        <w:left w:val="none" w:sz="0" w:space="0" w:color="auto"/>
        <w:bottom w:val="none" w:sz="0" w:space="0" w:color="auto"/>
        <w:right w:val="none" w:sz="0" w:space="0" w:color="auto"/>
      </w:divBdr>
    </w:div>
    <w:div w:id="1761832433">
      <w:bodyDiv w:val="1"/>
      <w:marLeft w:val="0"/>
      <w:marRight w:val="0"/>
      <w:marTop w:val="0"/>
      <w:marBottom w:val="0"/>
      <w:divBdr>
        <w:top w:val="none" w:sz="0" w:space="0" w:color="auto"/>
        <w:left w:val="none" w:sz="0" w:space="0" w:color="auto"/>
        <w:bottom w:val="none" w:sz="0" w:space="0" w:color="auto"/>
        <w:right w:val="none" w:sz="0" w:space="0" w:color="auto"/>
      </w:divBdr>
    </w:div>
    <w:div w:id="1781678423">
      <w:bodyDiv w:val="1"/>
      <w:marLeft w:val="0"/>
      <w:marRight w:val="0"/>
      <w:marTop w:val="0"/>
      <w:marBottom w:val="0"/>
      <w:divBdr>
        <w:top w:val="none" w:sz="0" w:space="0" w:color="auto"/>
        <w:left w:val="none" w:sz="0" w:space="0" w:color="auto"/>
        <w:bottom w:val="none" w:sz="0" w:space="0" w:color="auto"/>
        <w:right w:val="none" w:sz="0" w:space="0" w:color="auto"/>
      </w:divBdr>
    </w:div>
    <w:div w:id="1796093075">
      <w:bodyDiv w:val="1"/>
      <w:marLeft w:val="0"/>
      <w:marRight w:val="0"/>
      <w:marTop w:val="0"/>
      <w:marBottom w:val="0"/>
      <w:divBdr>
        <w:top w:val="none" w:sz="0" w:space="0" w:color="auto"/>
        <w:left w:val="none" w:sz="0" w:space="0" w:color="auto"/>
        <w:bottom w:val="none" w:sz="0" w:space="0" w:color="auto"/>
        <w:right w:val="none" w:sz="0" w:space="0" w:color="auto"/>
      </w:divBdr>
    </w:div>
    <w:div w:id="1808038534">
      <w:bodyDiv w:val="1"/>
      <w:marLeft w:val="0"/>
      <w:marRight w:val="0"/>
      <w:marTop w:val="0"/>
      <w:marBottom w:val="0"/>
      <w:divBdr>
        <w:top w:val="none" w:sz="0" w:space="0" w:color="auto"/>
        <w:left w:val="none" w:sz="0" w:space="0" w:color="auto"/>
        <w:bottom w:val="none" w:sz="0" w:space="0" w:color="auto"/>
        <w:right w:val="none" w:sz="0" w:space="0" w:color="auto"/>
      </w:divBdr>
    </w:div>
    <w:div w:id="1814174500">
      <w:bodyDiv w:val="1"/>
      <w:marLeft w:val="0"/>
      <w:marRight w:val="0"/>
      <w:marTop w:val="0"/>
      <w:marBottom w:val="0"/>
      <w:divBdr>
        <w:top w:val="none" w:sz="0" w:space="0" w:color="auto"/>
        <w:left w:val="none" w:sz="0" w:space="0" w:color="auto"/>
        <w:bottom w:val="none" w:sz="0" w:space="0" w:color="auto"/>
        <w:right w:val="none" w:sz="0" w:space="0" w:color="auto"/>
      </w:divBdr>
    </w:div>
    <w:div w:id="1818644490">
      <w:bodyDiv w:val="1"/>
      <w:marLeft w:val="0"/>
      <w:marRight w:val="0"/>
      <w:marTop w:val="0"/>
      <w:marBottom w:val="0"/>
      <w:divBdr>
        <w:top w:val="none" w:sz="0" w:space="0" w:color="auto"/>
        <w:left w:val="none" w:sz="0" w:space="0" w:color="auto"/>
        <w:bottom w:val="none" w:sz="0" w:space="0" w:color="auto"/>
        <w:right w:val="none" w:sz="0" w:space="0" w:color="auto"/>
      </w:divBdr>
    </w:div>
    <w:div w:id="1837380791">
      <w:bodyDiv w:val="1"/>
      <w:marLeft w:val="0"/>
      <w:marRight w:val="0"/>
      <w:marTop w:val="0"/>
      <w:marBottom w:val="0"/>
      <w:divBdr>
        <w:top w:val="none" w:sz="0" w:space="0" w:color="auto"/>
        <w:left w:val="none" w:sz="0" w:space="0" w:color="auto"/>
        <w:bottom w:val="none" w:sz="0" w:space="0" w:color="auto"/>
        <w:right w:val="none" w:sz="0" w:space="0" w:color="auto"/>
      </w:divBdr>
    </w:div>
    <w:div w:id="1842351864">
      <w:bodyDiv w:val="1"/>
      <w:marLeft w:val="0"/>
      <w:marRight w:val="0"/>
      <w:marTop w:val="0"/>
      <w:marBottom w:val="0"/>
      <w:divBdr>
        <w:top w:val="none" w:sz="0" w:space="0" w:color="auto"/>
        <w:left w:val="none" w:sz="0" w:space="0" w:color="auto"/>
        <w:bottom w:val="none" w:sz="0" w:space="0" w:color="auto"/>
        <w:right w:val="none" w:sz="0" w:space="0" w:color="auto"/>
      </w:divBdr>
    </w:div>
    <w:div w:id="1844279756">
      <w:bodyDiv w:val="1"/>
      <w:marLeft w:val="0"/>
      <w:marRight w:val="0"/>
      <w:marTop w:val="0"/>
      <w:marBottom w:val="0"/>
      <w:divBdr>
        <w:top w:val="none" w:sz="0" w:space="0" w:color="auto"/>
        <w:left w:val="none" w:sz="0" w:space="0" w:color="auto"/>
        <w:bottom w:val="none" w:sz="0" w:space="0" w:color="auto"/>
        <w:right w:val="none" w:sz="0" w:space="0" w:color="auto"/>
      </w:divBdr>
    </w:div>
    <w:div w:id="1890845811">
      <w:bodyDiv w:val="1"/>
      <w:marLeft w:val="0"/>
      <w:marRight w:val="0"/>
      <w:marTop w:val="0"/>
      <w:marBottom w:val="0"/>
      <w:divBdr>
        <w:top w:val="none" w:sz="0" w:space="0" w:color="auto"/>
        <w:left w:val="none" w:sz="0" w:space="0" w:color="auto"/>
        <w:bottom w:val="none" w:sz="0" w:space="0" w:color="auto"/>
        <w:right w:val="none" w:sz="0" w:space="0" w:color="auto"/>
      </w:divBdr>
    </w:div>
    <w:div w:id="1893687115">
      <w:bodyDiv w:val="1"/>
      <w:marLeft w:val="0"/>
      <w:marRight w:val="0"/>
      <w:marTop w:val="0"/>
      <w:marBottom w:val="0"/>
      <w:divBdr>
        <w:top w:val="none" w:sz="0" w:space="0" w:color="auto"/>
        <w:left w:val="none" w:sz="0" w:space="0" w:color="auto"/>
        <w:bottom w:val="none" w:sz="0" w:space="0" w:color="auto"/>
        <w:right w:val="none" w:sz="0" w:space="0" w:color="auto"/>
      </w:divBdr>
    </w:div>
    <w:div w:id="2021279109">
      <w:bodyDiv w:val="1"/>
      <w:marLeft w:val="0"/>
      <w:marRight w:val="0"/>
      <w:marTop w:val="0"/>
      <w:marBottom w:val="0"/>
      <w:divBdr>
        <w:top w:val="none" w:sz="0" w:space="0" w:color="auto"/>
        <w:left w:val="none" w:sz="0" w:space="0" w:color="auto"/>
        <w:bottom w:val="none" w:sz="0" w:space="0" w:color="auto"/>
        <w:right w:val="none" w:sz="0" w:space="0" w:color="auto"/>
      </w:divBdr>
    </w:div>
    <w:div w:id="2031485193">
      <w:bodyDiv w:val="1"/>
      <w:marLeft w:val="0"/>
      <w:marRight w:val="0"/>
      <w:marTop w:val="0"/>
      <w:marBottom w:val="0"/>
      <w:divBdr>
        <w:top w:val="none" w:sz="0" w:space="0" w:color="auto"/>
        <w:left w:val="none" w:sz="0" w:space="0" w:color="auto"/>
        <w:bottom w:val="none" w:sz="0" w:space="0" w:color="auto"/>
        <w:right w:val="none" w:sz="0" w:space="0" w:color="auto"/>
      </w:divBdr>
    </w:div>
    <w:div w:id="2051344861">
      <w:bodyDiv w:val="1"/>
      <w:marLeft w:val="0"/>
      <w:marRight w:val="0"/>
      <w:marTop w:val="0"/>
      <w:marBottom w:val="0"/>
      <w:divBdr>
        <w:top w:val="none" w:sz="0" w:space="0" w:color="auto"/>
        <w:left w:val="none" w:sz="0" w:space="0" w:color="auto"/>
        <w:bottom w:val="none" w:sz="0" w:space="0" w:color="auto"/>
        <w:right w:val="none" w:sz="0" w:space="0" w:color="auto"/>
      </w:divBdr>
    </w:div>
    <w:div w:id="2051684094">
      <w:bodyDiv w:val="1"/>
      <w:marLeft w:val="0"/>
      <w:marRight w:val="0"/>
      <w:marTop w:val="0"/>
      <w:marBottom w:val="0"/>
      <w:divBdr>
        <w:top w:val="none" w:sz="0" w:space="0" w:color="auto"/>
        <w:left w:val="none" w:sz="0" w:space="0" w:color="auto"/>
        <w:bottom w:val="none" w:sz="0" w:space="0" w:color="auto"/>
        <w:right w:val="none" w:sz="0" w:space="0" w:color="auto"/>
      </w:divBdr>
    </w:div>
    <w:div w:id="2067288992">
      <w:bodyDiv w:val="1"/>
      <w:marLeft w:val="0"/>
      <w:marRight w:val="0"/>
      <w:marTop w:val="0"/>
      <w:marBottom w:val="0"/>
      <w:divBdr>
        <w:top w:val="none" w:sz="0" w:space="0" w:color="auto"/>
        <w:left w:val="none" w:sz="0" w:space="0" w:color="auto"/>
        <w:bottom w:val="none" w:sz="0" w:space="0" w:color="auto"/>
        <w:right w:val="none" w:sz="0" w:space="0" w:color="auto"/>
      </w:divBdr>
    </w:div>
    <w:div w:id="2067798921">
      <w:bodyDiv w:val="1"/>
      <w:marLeft w:val="0"/>
      <w:marRight w:val="0"/>
      <w:marTop w:val="0"/>
      <w:marBottom w:val="0"/>
      <w:divBdr>
        <w:top w:val="none" w:sz="0" w:space="0" w:color="auto"/>
        <w:left w:val="none" w:sz="0" w:space="0" w:color="auto"/>
        <w:bottom w:val="none" w:sz="0" w:space="0" w:color="auto"/>
        <w:right w:val="none" w:sz="0" w:space="0" w:color="auto"/>
      </w:divBdr>
    </w:div>
    <w:div w:id="2073231436">
      <w:bodyDiv w:val="1"/>
      <w:marLeft w:val="0"/>
      <w:marRight w:val="0"/>
      <w:marTop w:val="0"/>
      <w:marBottom w:val="0"/>
      <w:divBdr>
        <w:top w:val="none" w:sz="0" w:space="0" w:color="auto"/>
        <w:left w:val="none" w:sz="0" w:space="0" w:color="auto"/>
        <w:bottom w:val="none" w:sz="0" w:space="0" w:color="auto"/>
        <w:right w:val="none" w:sz="0" w:space="0" w:color="auto"/>
      </w:divBdr>
    </w:div>
    <w:div w:id="2080012148">
      <w:bodyDiv w:val="1"/>
      <w:marLeft w:val="0"/>
      <w:marRight w:val="0"/>
      <w:marTop w:val="0"/>
      <w:marBottom w:val="0"/>
      <w:divBdr>
        <w:top w:val="none" w:sz="0" w:space="0" w:color="auto"/>
        <w:left w:val="none" w:sz="0" w:space="0" w:color="auto"/>
        <w:bottom w:val="none" w:sz="0" w:space="0" w:color="auto"/>
        <w:right w:val="none" w:sz="0" w:space="0" w:color="auto"/>
      </w:divBdr>
    </w:div>
    <w:div w:id="2083866684">
      <w:bodyDiv w:val="1"/>
      <w:marLeft w:val="0"/>
      <w:marRight w:val="0"/>
      <w:marTop w:val="0"/>
      <w:marBottom w:val="0"/>
      <w:divBdr>
        <w:top w:val="none" w:sz="0" w:space="0" w:color="auto"/>
        <w:left w:val="none" w:sz="0" w:space="0" w:color="auto"/>
        <w:bottom w:val="none" w:sz="0" w:space="0" w:color="auto"/>
        <w:right w:val="none" w:sz="0" w:space="0" w:color="auto"/>
      </w:divBdr>
    </w:div>
    <w:div w:id="2093962292">
      <w:bodyDiv w:val="1"/>
      <w:marLeft w:val="0"/>
      <w:marRight w:val="0"/>
      <w:marTop w:val="0"/>
      <w:marBottom w:val="0"/>
      <w:divBdr>
        <w:top w:val="none" w:sz="0" w:space="0" w:color="auto"/>
        <w:left w:val="none" w:sz="0" w:space="0" w:color="auto"/>
        <w:bottom w:val="none" w:sz="0" w:space="0" w:color="auto"/>
        <w:right w:val="none" w:sz="0" w:space="0" w:color="auto"/>
      </w:divBdr>
    </w:div>
    <w:div w:id="2098286723">
      <w:bodyDiv w:val="1"/>
      <w:marLeft w:val="0"/>
      <w:marRight w:val="0"/>
      <w:marTop w:val="0"/>
      <w:marBottom w:val="0"/>
      <w:divBdr>
        <w:top w:val="none" w:sz="0" w:space="0" w:color="auto"/>
        <w:left w:val="none" w:sz="0" w:space="0" w:color="auto"/>
        <w:bottom w:val="none" w:sz="0" w:space="0" w:color="auto"/>
        <w:right w:val="none" w:sz="0" w:space="0" w:color="auto"/>
      </w:divBdr>
      <w:divsChild>
        <w:div w:id="1995794456">
          <w:marLeft w:val="547"/>
          <w:marRight w:val="0"/>
          <w:marTop w:val="96"/>
          <w:marBottom w:val="0"/>
          <w:divBdr>
            <w:top w:val="none" w:sz="0" w:space="0" w:color="auto"/>
            <w:left w:val="none" w:sz="0" w:space="0" w:color="auto"/>
            <w:bottom w:val="none" w:sz="0" w:space="0" w:color="auto"/>
            <w:right w:val="none" w:sz="0" w:space="0" w:color="auto"/>
          </w:divBdr>
        </w:div>
      </w:divsChild>
    </w:div>
    <w:div w:id="2101363563">
      <w:bodyDiv w:val="1"/>
      <w:marLeft w:val="0"/>
      <w:marRight w:val="0"/>
      <w:marTop w:val="0"/>
      <w:marBottom w:val="0"/>
      <w:divBdr>
        <w:top w:val="none" w:sz="0" w:space="0" w:color="auto"/>
        <w:left w:val="none" w:sz="0" w:space="0" w:color="auto"/>
        <w:bottom w:val="none" w:sz="0" w:space="0" w:color="auto"/>
        <w:right w:val="none" w:sz="0" w:space="0" w:color="auto"/>
      </w:divBdr>
    </w:div>
    <w:div w:id="2104567506">
      <w:bodyDiv w:val="1"/>
      <w:marLeft w:val="0"/>
      <w:marRight w:val="0"/>
      <w:marTop w:val="0"/>
      <w:marBottom w:val="0"/>
      <w:divBdr>
        <w:top w:val="none" w:sz="0" w:space="0" w:color="auto"/>
        <w:left w:val="none" w:sz="0" w:space="0" w:color="auto"/>
        <w:bottom w:val="none" w:sz="0" w:space="0" w:color="auto"/>
        <w:right w:val="none" w:sz="0" w:space="0" w:color="auto"/>
      </w:divBdr>
    </w:div>
    <w:div w:id="212129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589D2-3576-447D-9D98-F2A550A67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70</Pages>
  <Words>19356</Words>
  <Characters>110335</Characters>
  <Application>Microsoft Office Word</Application>
  <DocSecurity>0</DocSecurity>
  <Lines>919</Lines>
  <Paragraphs>258</Paragraphs>
  <ScaleCrop>false</ScaleCrop>
  <HeadingPairs>
    <vt:vector size="2" baseType="variant">
      <vt:variant>
        <vt:lpstr>Title</vt:lpstr>
      </vt:variant>
      <vt:variant>
        <vt:i4>1</vt:i4>
      </vt:variant>
    </vt:vector>
  </HeadingPairs>
  <TitlesOfParts>
    <vt:vector size="1" baseType="lpstr">
      <vt:lpstr>1</vt:lpstr>
    </vt:vector>
  </TitlesOfParts>
  <Company>Hewlett-Packard</Company>
  <LinksUpToDate>false</LinksUpToDate>
  <CharactersWithSpaces>129433</CharactersWithSpaces>
  <SharedDoc>false</SharedDoc>
  <HLinks>
    <vt:vector size="414" baseType="variant">
      <vt:variant>
        <vt:i4>1048627</vt:i4>
      </vt:variant>
      <vt:variant>
        <vt:i4>410</vt:i4>
      </vt:variant>
      <vt:variant>
        <vt:i4>0</vt:i4>
      </vt:variant>
      <vt:variant>
        <vt:i4>5</vt:i4>
      </vt:variant>
      <vt:variant>
        <vt:lpwstr/>
      </vt:variant>
      <vt:variant>
        <vt:lpwstr>_Toc436562733</vt:lpwstr>
      </vt:variant>
      <vt:variant>
        <vt:i4>1048627</vt:i4>
      </vt:variant>
      <vt:variant>
        <vt:i4>404</vt:i4>
      </vt:variant>
      <vt:variant>
        <vt:i4>0</vt:i4>
      </vt:variant>
      <vt:variant>
        <vt:i4>5</vt:i4>
      </vt:variant>
      <vt:variant>
        <vt:lpwstr/>
      </vt:variant>
      <vt:variant>
        <vt:lpwstr>_Toc436562732</vt:lpwstr>
      </vt:variant>
      <vt:variant>
        <vt:i4>1048627</vt:i4>
      </vt:variant>
      <vt:variant>
        <vt:i4>398</vt:i4>
      </vt:variant>
      <vt:variant>
        <vt:i4>0</vt:i4>
      </vt:variant>
      <vt:variant>
        <vt:i4>5</vt:i4>
      </vt:variant>
      <vt:variant>
        <vt:lpwstr/>
      </vt:variant>
      <vt:variant>
        <vt:lpwstr>_Toc436562731</vt:lpwstr>
      </vt:variant>
      <vt:variant>
        <vt:i4>1048627</vt:i4>
      </vt:variant>
      <vt:variant>
        <vt:i4>392</vt:i4>
      </vt:variant>
      <vt:variant>
        <vt:i4>0</vt:i4>
      </vt:variant>
      <vt:variant>
        <vt:i4>5</vt:i4>
      </vt:variant>
      <vt:variant>
        <vt:lpwstr/>
      </vt:variant>
      <vt:variant>
        <vt:lpwstr>_Toc436562730</vt:lpwstr>
      </vt:variant>
      <vt:variant>
        <vt:i4>1114163</vt:i4>
      </vt:variant>
      <vt:variant>
        <vt:i4>386</vt:i4>
      </vt:variant>
      <vt:variant>
        <vt:i4>0</vt:i4>
      </vt:variant>
      <vt:variant>
        <vt:i4>5</vt:i4>
      </vt:variant>
      <vt:variant>
        <vt:lpwstr/>
      </vt:variant>
      <vt:variant>
        <vt:lpwstr>_Toc436562729</vt:lpwstr>
      </vt:variant>
      <vt:variant>
        <vt:i4>1114163</vt:i4>
      </vt:variant>
      <vt:variant>
        <vt:i4>380</vt:i4>
      </vt:variant>
      <vt:variant>
        <vt:i4>0</vt:i4>
      </vt:variant>
      <vt:variant>
        <vt:i4>5</vt:i4>
      </vt:variant>
      <vt:variant>
        <vt:lpwstr/>
      </vt:variant>
      <vt:variant>
        <vt:lpwstr>_Toc436562728</vt:lpwstr>
      </vt:variant>
      <vt:variant>
        <vt:i4>1114163</vt:i4>
      </vt:variant>
      <vt:variant>
        <vt:i4>374</vt:i4>
      </vt:variant>
      <vt:variant>
        <vt:i4>0</vt:i4>
      </vt:variant>
      <vt:variant>
        <vt:i4>5</vt:i4>
      </vt:variant>
      <vt:variant>
        <vt:lpwstr/>
      </vt:variant>
      <vt:variant>
        <vt:lpwstr>_Toc436562727</vt:lpwstr>
      </vt:variant>
      <vt:variant>
        <vt:i4>1114163</vt:i4>
      </vt:variant>
      <vt:variant>
        <vt:i4>368</vt:i4>
      </vt:variant>
      <vt:variant>
        <vt:i4>0</vt:i4>
      </vt:variant>
      <vt:variant>
        <vt:i4>5</vt:i4>
      </vt:variant>
      <vt:variant>
        <vt:lpwstr/>
      </vt:variant>
      <vt:variant>
        <vt:lpwstr>_Toc436562726</vt:lpwstr>
      </vt:variant>
      <vt:variant>
        <vt:i4>1114163</vt:i4>
      </vt:variant>
      <vt:variant>
        <vt:i4>362</vt:i4>
      </vt:variant>
      <vt:variant>
        <vt:i4>0</vt:i4>
      </vt:variant>
      <vt:variant>
        <vt:i4>5</vt:i4>
      </vt:variant>
      <vt:variant>
        <vt:lpwstr/>
      </vt:variant>
      <vt:variant>
        <vt:lpwstr>_Toc436562725</vt:lpwstr>
      </vt:variant>
      <vt:variant>
        <vt:i4>1114163</vt:i4>
      </vt:variant>
      <vt:variant>
        <vt:i4>356</vt:i4>
      </vt:variant>
      <vt:variant>
        <vt:i4>0</vt:i4>
      </vt:variant>
      <vt:variant>
        <vt:i4>5</vt:i4>
      </vt:variant>
      <vt:variant>
        <vt:lpwstr/>
      </vt:variant>
      <vt:variant>
        <vt:lpwstr>_Toc436562724</vt:lpwstr>
      </vt:variant>
      <vt:variant>
        <vt:i4>1114163</vt:i4>
      </vt:variant>
      <vt:variant>
        <vt:i4>350</vt:i4>
      </vt:variant>
      <vt:variant>
        <vt:i4>0</vt:i4>
      </vt:variant>
      <vt:variant>
        <vt:i4>5</vt:i4>
      </vt:variant>
      <vt:variant>
        <vt:lpwstr/>
      </vt:variant>
      <vt:variant>
        <vt:lpwstr>_Toc436562723</vt:lpwstr>
      </vt:variant>
      <vt:variant>
        <vt:i4>1114163</vt:i4>
      </vt:variant>
      <vt:variant>
        <vt:i4>344</vt:i4>
      </vt:variant>
      <vt:variant>
        <vt:i4>0</vt:i4>
      </vt:variant>
      <vt:variant>
        <vt:i4>5</vt:i4>
      </vt:variant>
      <vt:variant>
        <vt:lpwstr/>
      </vt:variant>
      <vt:variant>
        <vt:lpwstr>_Toc436562722</vt:lpwstr>
      </vt:variant>
      <vt:variant>
        <vt:i4>1114163</vt:i4>
      </vt:variant>
      <vt:variant>
        <vt:i4>338</vt:i4>
      </vt:variant>
      <vt:variant>
        <vt:i4>0</vt:i4>
      </vt:variant>
      <vt:variant>
        <vt:i4>5</vt:i4>
      </vt:variant>
      <vt:variant>
        <vt:lpwstr/>
      </vt:variant>
      <vt:variant>
        <vt:lpwstr>_Toc436562721</vt:lpwstr>
      </vt:variant>
      <vt:variant>
        <vt:i4>1114163</vt:i4>
      </vt:variant>
      <vt:variant>
        <vt:i4>332</vt:i4>
      </vt:variant>
      <vt:variant>
        <vt:i4>0</vt:i4>
      </vt:variant>
      <vt:variant>
        <vt:i4>5</vt:i4>
      </vt:variant>
      <vt:variant>
        <vt:lpwstr/>
      </vt:variant>
      <vt:variant>
        <vt:lpwstr>_Toc436562720</vt:lpwstr>
      </vt:variant>
      <vt:variant>
        <vt:i4>1179699</vt:i4>
      </vt:variant>
      <vt:variant>
        <vt:i4>326</vt:i4>
      </vt:variant>
      <vt:variant>
        <vt:i4>0</vt:i4>
      </vt:variant>
      <vt:variant>
        <vt:i4>5</vt:i4>
      </vt:variant>
      <vt:variant>
        <vt:lpwstr/>
      </vt:variant>
      <vt:variant>
        <vt:lpwstr>_Toc436562719</vt:lpwstr>
      </vt:variant>
      <vt:variant>
        <vt:i4>1179699</vt:i4>
      </vt:variant>
      <vt:variant>
        <vt:i4>320</vt:i4>
      </vt:variant>
      <vt:variant>
        <vt:i4>0</vt:i4>
      </vt:variant>
      <vt:variant>
        <vt:i4>5</vt:i4>
      </vt:variant>
      <vt:variant>
        <vt:lpwstr/>
      </vt:variant>
      <vt:variant>
        <vt:lpwstr>_Toc436562718</vt:lpwstr>
      </vt:variant>
      <vt:variant>
        <vt:i4>1179699</vt:i4>
      </vt:variant>
      <vt:variant>
        <vt:i4>314</vt:i4>
      </vt:variant>
      <vt:variant>
        <vt:i4>0</vt:i4>
      </vt:variant>
      <vt:variant>
        <vt:i4>5</vt:i4>
      </vt:variant>
      <vt:variant>
        <vt:lpwstr/>
      </vt:variant>
      <vt:variant>
        <vt:lpwstr>_Toc436562717</vt:lpwstr>
      </vt:variant>
      <vt:variant>
        <vt:i4>1179699</vt:i4>
      </vt:variant>
      <vt:variant>
        <vt:i4>308</vt:i4>
      </vt:variant>
      <vt:variant>
        <vt:i4>0</vt:i4>
      </vt:variant>
      <vt:variant>
        <vt:i4>5</vt:i4>
      </vt:variant>
      <vt:variant>
        <vt:lpwstr/>
      </vt:variant>
      <vt:variant>
        <vt:lpwstr>_Toc436562716</vt:lpwstr>
      </vt:variant>
      <vt:variant>
        <vt:i4>1179699</vt:i4>
      </vt:variant>
      <vt:variant>
        <vt:i4>302</vt:i4>
      </vt:variant>
      <vt:variant>
        <vt:i4>0</vt:i4>
      </vt:variant>
      <vt:variant>
        <vt:i4>5</vt:i4>
      </vt:variant>
      <vt:variant>
        <vt:lpwstr/>
      </vt:variant>
      <vt:variant>
        <vt:lpwstr>_Toc436562715</vt:lpwstr>
      </vt:variant>
      <vt:variant>
        <vt:i4>1179699</vt:i4>
      </vt:variant>
      <vt:variant>
        <vt:i4>296</vt:i4>
      </vt:variant>
      <vt:variant>
        <vt:i4>0</vt:i4>
      </vt:variant>
      <vt:variant>
        <vt:i4>5</vt:i4>
      </vt:variant>
      <vt:variant>
        <vt:lpwstr/>
      </vt:variant>
      <vt:variant>
        <vt:lpwstr>_Toc436562714</vt:lpwstr>
      </vt:variant>
      <vt:variant>
        <vt:i4>1179699</vt:i4>
      </vt:variant>
      <vt:variant>
        <vt:i4>290</vt:i4>
      </vt:variant>
      <vt:variant>
        <vt:i4>0</vt:i4>
      </vt:variant>
      <vt:variant>
        <vt:i4>5</vt:i4>
      </vt:variant>
      <vt:variant>
        <vt:lpwstr/>
      </vt:variant>
      <vt:variant>
        <vt:lpwstr>_Toc436562713</vt:lpwstr>
      </vt:variant>
      <vt:variant>
        <vt:i4>1179699</vt:i4>
      </vt:variant>
      <vt:variant>
        <vt:i4>284</vt:i4>
      </vt:variant>
      <vt:variant>
        <vt:i4>0</vt:i4>
      </vt:variant>
      <vt:variant>
        <vt:i4>5</vt:i4>
      </vt:variant>
      <vt:variant>
        <vt:lpwstr/>
      </vt:variant>
      <vt:variant>
        <vt:lpwstr>_Toc436562712</vt:lpwstr>
      </vt:variant>
      <vt:variant>
        <vt:i4>1179699</vt:i4>
      </vt:variant>
      <vt:variant>
        <vt:i4>278</vt:i4>
      </vt:variant>
      <vt:variant>
        <vt:i4>0</vt:i4>
      </vt:variant>
      <vt:variant>
        <vt:i4>5</vt:i4>
      </vt:variant>
      <vt:variant>
        <vt:lpwstr/>
      </vt:variant>
      <vt:variant>
        <vt:lpwstr>_Toc436562711</vt:lpwstr>
      </vt:variant>
      <vt:variant>
        <vt:i4>1179699</vt:i4>
      </vt:variant>
      <vt:variant>
        <vt:i4>272</vt:i4>
      </vt:variant>
      <vt:variant>
        <vt:i4>0</vt:i4>
      </vt:variant>
      <vt:variant>
        <vt:i4>5</vt:i4>
      </vt:variant>
      <vt:variant>
        <vt:lpwstr/>
      </vt:variant>
      <vt:variant>
        <vt:lpwstr>_Toc436562710</vt:lpwstr>
      </vt:variant>
      <vt:variant>
        <vt:i4>1245235</vt:i4>
      </vt:variant>
      <vt:variant>
        <vt:i4>266</vt:i4>
      </vt:variant>
      <vt:variant>
        <vt:i4>0</vt:i4>
      </vt:variant>
      <vt:variant>
        <vt:i4>5</vt:i4>
      </vt:variant>
      <vt:variant>
        <vt:lpwstr/>
      </vt:variant>
      <vt:variant>
        <vt:lpwstr>_Toc436562709</vt:lpwstr>
      </vt:variant>
      <vt:variant>
        <vt:i4>1245235</vt:i4>
      </vt:variant>
      <vt:variant>
        <vt:i4>260</vt:i4>
      </vt:variant>
      <vt:variant>
        <vt:i4>0</vt:i4>
      </vt:variant>
      <vt:variant>
        <vt:i4>5</vt:i4>
      </vt:variant>
      <vt:variant>
        <vt:lpwstr/>
      </vt:variant>
      <vt:variant>
        <vt:lpwstr>_Toc436562708</vt:lpwstr>
      </vt:variant>
      <vt:variant>
        <vt:i4>1245235</vt:i4>
      </vt:variant>
      <vt:variant>
        <vt:i4>254</vt:i4>
      </vt:variant>
      <vt:variant>
        <vt:i4>0</vt:i4>
      </vt:variant>
      <vt:variant>
        <vt:i4>5</vt:i4>
      </vt:variant>
      <vt:variant>
        <vt:lpwstr/>
      </vt:variant>
      <vt:variant>
        <vt:lpwstr>_Toc436562707</vt:lpwstr>
      </vt:variant>
      <vt:variant>
        <vt:i4>1245235</vt:i4>
      </vt:variant>
      <vt:variant>
        <vt:i4>248</vt:i4>
      </vt:variant>
      <vt:variant>
        <vt:i4>0</vt:i4>
      </vt:variant>
      <vt:variant>
        <vt:i4>5</vt:i4>
      </vt:variant>
      <vt:variant>
        <vt:lpwstr/>
      </vt:variant>
      <vt:variant>
        <vt:lpwstr>_Toc436562706</vt:lpwstr>
      </vt:variant>
      <vt:variant>
        <vt:i4>1245235</vt:i4>
      </vt:variant>
      <vt:variant>
        <vt:i4>242</vt:i4>
      </vt:variant>
      <vt:variant>
        <vt:i4>0</vt:i4>
      </vt:variant>
      <vt:variant>
        <vt:i4>5</vt:i4>
      </vt:variant>
      <vt:variant>
        <vt:lpwstr/>
      </vt:variant>
      <vt:variant>
        <vt:lpwstr>_Toc436562705</vt:lpwstr>
      </vt:variant>
      <vt:variant>
        <vt:i4>1245235</vt:i4>
      </vt:variant>
      <vt:variant>
        <vt:i4>236</vt:i4>
      </vt:variant>
      <vt:variant>
        <vt:i4>0</vt:i4>
      </vt:variant>
      <vt:variant>
        <vt:i4>5</vt:i4>
      </vt:variant>
      <vt:variant>
        <vt:lpwstr/>
      </vt:variant>
      <vt:variant>
        <vt:lpwstr>_Toc436562704</vt:lpwstr>
      </vt:variant>
      <vt:variant>
        <vt:i4>1245235</vt:i4>
      </vt:variant>
      <vt:variant>
        <vt:i4>230</vt:i4>
      </vt:variant>
      <vt:variant>
        <vt:i4>0</vt:i4>
      </vt:variant>
      <vt:variant>
        <vt:i4>5</vt:i4>
      </vt:variant>
      <vt:variant>
        <vt:lpwstr/>
      </vt:variant>
      <vt:variant>
        <vt:lpwstr>_Toc436562703</vt:lpwstr>
      </vt:variant>
      <vt:variant>
        <vt:i4>1245235</vt:i4>
      </vt:variant>
      <vt:variant>
        <vt:i4>224</vt:i4>
      </vt:variant>
      <vt:variant>
        <vt:i4>0</vt:i4>
      </vt:variant>
      <vt:variant>
        <vt:i4>5</vt:i4>
      </vt:variant>
      <vt:variant>
        <vt:lpwstr/>
      </vt:variant>
      <vt:variant>
        <vt:lpwstr>_Toc436562702</vt:lpwstr>
      </vt:variant>
      <vt:variant>
        <vt:i4>1245235</vt:i4>
      </vt:variant>
      <vt:variant>
        <vt:i4>218</vt:i4>
      </vt:variant>
      <vt:variant>
        <vt:i4>0</vt:i4>
      </vt:variant>
      <vt:variant>
        <vt:i4>5</vt:i4>
      </vt:variant>
      <vt:variant>
        <vt:lpwstr/>
      </vt:variant>
      <vt:variant>
        <vt:lpwstr>_Toc436562701</vt:lpwstr>
      </vt:variant>
      <vt:variant>
        <vt:i4>1245235</vt:i4>
      </vt:variant>
      <vt:variant>
        <vt:i4>212</vt:i4>
      </vt:variant>
      <vt:variant>
        <vt:i4>0</vt:i4>
      </vt:variant>
      <vt:variant>
        <vt:i4>5</vt:i4>
      </vt:variant>
      <vt:variant>
        <vt:lpwstr/>
      </vt:variant>
      <vt:variant>
        <vt:lpwstr>_Toc436562700</vt:lpwstr>
      </vt:variant>
      <vt:variant>
        <vt:i4>1703986</vt:i4>
      </vt:variant>
      <vt:variant>
        <vt:i4>206</vt:i4>
      </vt:variant>
      <vt:variant>
        <vt:i4>0</vt:i4>
      </vt:variant>
      <vt:variant>
        <vt:i4>5</vt:i4>
      </vt:variant>
      <vt:variant>
        <vt:lpwstr/>
      </vt:variant>
      <vt:variant>
        <vt:lpwstr>_Toc436562699</vt:lpwstr>
      </vt:variant>
      <vt:variant>
        <vt:i4>1703986</vt:i4>
      </vt:variant>
      <vt:variant>
        <vt:i4>200</vt:i4>
      </vt:variant>
      <vt:variant>
        <vt:i4>0</vt:i4>
      </vt:variant>
      <vt:variant>
        <vt:i4>5</vt:i4>
      </vt:variant>
      <vt:variant>
        <vt:lpwstr/>
      </vt:variant>
      <vt:variant>
        <vt:lpwstr>_Toc436562698</vt:lpwstr>
      </vt:variant>
      <vt:variant>
        <vt:i4>1703986</vt:i4>
      </vt:variant>
      <vt:variant>
        <vt:i4>194</vt:i4>
      </vt:variant>
      <vt:variant>
        <vt:i4>0</vt:i4>
      </vt:variant>
      <vt:variant>
        <vt:i4>5</vt:i4>
      </vt:variant>
      <vt:variant>
        <vt:lpwstr/>
      </vt:variant>
      <vt:variant>
        <vt:lpwstr>_Toc436562697</vt:lpwstr>
      </vt:variant>
      <vt:variant>
        <vt:i4>1703986</vt:i4>
      </vt:variant>
      <vt:variant>
        <vt:i4>188</vt:i4>
      </vt:variant>
      <vt:variant>
        <vt:i4>0</vt:i4>
      </vt:variant>
      <vt:variant>
        <vt:i4>5</vt:i4>
      </vt:variant>
      <vt:variant>
        <vt:lpwstr/>
      </vt:variant>
      <vt:variant>
        <vt:lpwstr>_Toc436562696</vt:lpwstr>
      </vt:variant>
      <vt:variant>
        <vt:i4>1703986</vt:i4>
      </vt:variant>
      <vt:variant>
        <vt:i4>182</vt:i4>
      </vt:variant>
      <vt:variant>
        <vt:i4>0</vt:i4>
      </vt:variant>
      <vt:variant>
        <vt:i4>5</vt:i4>
      </vt:variant>
      <vt:variant>
        <vt:lpwstr/>
      </vt:variant>
      <vt:variant>
        <vt:lpwstr>_Toc436562695</vt:lpwstr>
      </vt:variant>
      <vt:variant>
        <vt:i4>1703986</vt:i4>
      </vt:variant>
      <vt:variant>
        <vt:i4>176</vt:i4>
      </vt:variant>
      <vt:variant>
        <vt:i4>0</vt:i4>
      </vt:variant>
      <vt:variant>
        <vt:i4>5</vt:i4>
      </vt:variant>
      <vt:variant>
        <vt:lpwstr/>
      </vt:variant>
      <vt:variant>
        <vt:lpwstr>_Toc436562694</vt:lpwstr>
      </vt:variant>
      <vt:variant>
        <vt:i4>1703986</vt:i4>
      </vt:variant>
      <vt:variant>
        <vt:i4>170</vt:i4>
      </vt:variant>
      <vt:variant>
        <vt:i4>0</vt:i4>
      </vt:variant>
      <vt:variant>
        <vt:i4>5</vt:i4>
      </vt:variant>
      <vt:variant>
        <vt:lpwstr/>
      </vt:variant>
      <vt:variant>
        <vt:lpwstr>_Toc436562693</vt:lpwstr>
      </vt:variant>
      <vt:variant>
        <vt:i4>1703986</vt:i4>
      </vt:variant>
      <vt:variant>
        <vt:i4>164</vt:i4>
      </vt:variant>
      <vt:variant>
        <vt:i4>0</vt:i4>
      </vt:variant>
      <vt:variant>
        <vt:i4>5</vt:i4>
      </vt:variant>
      <vt:variant>
        <vt:lpwstr/>
      </vt:variant>
      <vt:variant>
        <vt:lpwstr>_Toc436562692</vt:lpwstr>
      </vt:variant>
      <vt:variant>
        <vt:i4>1703986</vt:i4>
      </vt:variant>
      <vt:variant>
        <vt:i4>158</vt:i4>
      </vt:variant>
      <vt:variant>
        <vt:i4>0</vt:i4>
      </vt:variant>
      <vt:variant>
        <vt:i4>5</vt:i4>
      </vt:variant>
      <vt:variant>
        <vt:lpwstr/>
      </vt:variant>
      <vt:variant>
        <vt:lpwstr>_Toc436562691</vt:lpwstr>
      </vt:variant>
      <vt:variant>
        <vt:i4>1703986</vt:i4>
      </vt:variant>
      <vt:variant>
        <vt:i4>152</vt:i4>
      </vt:variant>
      <vt:variant>
        <vt:i4>0</vt:i4>
      </vt:variant>
      <vt:variant>
        <vt:i4>5</vt:i4>
      </vt:variant>
      <vt:variant>
        <vt:lpwstr/>
      </vt:variant>
      <vt:variant>
        <vt:lpwstr>_Toc436562690</vt:lpwstr>
      </vt:variant>
      <vt:variant>
        <vt:i4>1769522</vt:i4>
      </vt:variant>
      <vt:variant>
        <vt:i4>146</vt:i4>
      </vt:variant>
      <vt:variant>
        <vt:i4>0</vt:i4>
      </vt:variant>
      <vt:variant>
        <vt:i4>5</vt:i4>
      </vt:variant>
      <vt:variant>
        <vt:lpwstr/>
      </vt:variant>
      <vt:variant>
        <vt:lpwstr>_Toc436562689</vt:lpwstr>
      </vt:variant>
      <vt:variant>
        <vt:i4>1769522</vt:i4>
      </vt:variant>
      <vt:variant>
        <vt:i4>140</vt:i4>
      </vt:variant>
      <vt:variant>
        <vt:i4>0</vt:i4>
      </vt:variant>
      <vt:variant>
        <vt:i4>5</vt:i4>
      </vt:variant>
      <vt:variant>
        <vt:lpwstr/>
      </vt:variant>
      <vt:variant>
        <vt:lpwstr>_Toc436562688</vt:lpwstr>
      </vt:variant>
      <vt:variant>
        <vt:i4>1769522</vt:i4>
      </vt:variant>
      <vt:variant>
        <vt:i4>134</vt:i4>
      </vt:variant>
      <vt:variant>
        <vt:i4>0</vt:i4>
      </vt:variant>
      <vt:variant>
        <vt:i4>5</vt:i4>
      </vt:variant>
      <vt:variant>
        <vt:lpwstr/>
      </vt:variant>
      <vt:variant>
        <vt:lpwstr>_Toc436562687</vt:lpwstr>
      </vt:variant>
      <vt:variant>
        <vt:i4>1769522</vt:i4>
      </vt:variant>
      <vt:variant>
        <vt:i4>128</vt:i4>
      </vt:variant>
      <vt:variant>
        <vt:i4>0</vt:i4>
      </vt:variant>
      <vt:variant>
        <vt:i4>5</vt:i4>
      </vt:variant>
      <vt:variant>
        <vt:lpwstr/>
      </vt:variant>
      <vt:variant>
        <vt:lpwstr>_Toc436562686</vt:lpwstr>
      </vt:variant>
      <vt:variant>
        <vt:i4>1769522</vt:i4>
      </vt:variant>
      <vt:variant>
        <vt:i4>122</vt:i4>
      </vt:variant>
      <vt:variant>
        <vt:i4>0</vt:i4>
      </vt:variant>
      <vt:variant>
        <vt:i4>5</vt:i4>
      </vt:variant>
      <vt:variant>
        <vt:lpwstr/>
      </vt:variant>
      <vt:variant>
        <vt:lpwstr>_Toc436562685</vt:lpwstr>
      </vt:variant>
      <vt:variant>
        <vt:i4>1769522</vt:i4>
      </vt:variant>
      <vt:variant>
        <vt:i4>116</vt:i4>
      </vt:variant>
      <vt:variant>
        <vt:i4>0</vt:i4>
      </vt:variant>
      <vt:variant>
        <vt:i4>5</vt:i4>
      </vt:variant>
      <vt:variant>
        <vt:lpwstr/>
      </vt:variant>
      <vt:variant>
        <vt:lpwstr>_Toc436562684</vt:lpwstr>
      </vt:variant>
      <vt:variant>
        <vt:i4>1769522</vt:i4>
      </vt:variant>
      <vt:variant>
        <vt:i4>110</vt:i4>
      </vt:variant>
      <vt:variant>
        <vt:i4>0</vt:i4>
      </vt:variant>
      <vt:variant>
        <vt:i4>5</vt:i4>
      </vt:variant>
      <vt:variant>
        <vt:lpwstr/>
      </vt:variant>
      <vt:variant>
        <vt:lpwstr>_Toc436562683</vt:lpwstr>
      </vt:variant>
      <vt:variant>
        <vt:i4>1769522</vt:i4>
      </vt:variant>
      <vt:variant>
        <vt:i4>104</vt:i4>
      </vt:variant>
      <vt:variant>
        <vt:i4>0</vt:i4>
      </vt:variant>
      <vt:variant>
        <vt:i4>5</vt:i4>
      </vt:variant>
      <vt:variant>
        <vt:lpwstr/>
      </vt:variant>
      <vt:variant>
        <vt:lpwstr>_Toc436562682</vt:lpwstr>
      </vt:variant>
      <vt:variant>
        <vt:i4>1769522</vt:i4>
      </vt:variant>
      <vt:variant>
        <vt:i4>98</vt:i4>
      </vt:variant>
      <vt:variant>
        <vt:i4>0</vt:i4>
      </vt:variant>
      <vt:variant>
        <vt:i4>5</vt:i4>
      </vt:variant>
      <vt:variant>
        <vt:lpwstr/>
      </vt:variant>
      <vt:variant>
        <vt:lpwstr>_Toc436562681</vt:lpwstr>
      </vt:variant>
      <vt:variant>
        <vt:i4>1769522</vt:i4>
      </vt:variant>
      <vt:variant>
        <vt:i4>92</vt:i4>
      </vt:variant>
      <vt:variant>
        <vt:i4>0</vt:i4>
      </vt:variant>
      <vt:variant>
        <vt:i4>5</vt:i4>
      </vt:variant>
      <vt:variant>
        <vt:lpwstr/>
      </vt:variant>
      <vt:variant>
        <vt:lpwstr>_Toc436562680</vt:lpwstr>
      </vt:variant>
      <vt:variant>
        <vt:i4>1310770</vt:i4>
      </vt:variant>
      <vt:variant>
        <vt:i4>86</vt:i4>
      </vt:variant>
      <vt:variant>
        <vt:i4>0</vt:i4>
      </vt:variant>
      <vt:variant>
        <vt:i4>5</vt:i4>
      </vt:variant>
      <vt:variant>
        <vt:lpwstr/>
      </vt:variant>
      <vt:variant>
        <vt:lpwstr>_Toc436562679</vt:lpwstr>
      </vt:variant>
      <vt:variant>
        <vt:i4>1310770</vt:i4>
      </vt:variant>
      <vt:variant>
        <vt:i4>80</vt:i4>
      </vt:variant>
      <vt:variant>
        <vt:i4>0</vt:i4>
      </vt:variant>
      <vt:variant>
        <vt:i4>5</vt:i4>
      </vt:variant>
      <vt:variant>
        <vt:lpwstr/>
      </vt:variant>
      <vt:variant>
        <vt:lpwstr>_Toc436562678</vt:lpwstr>
      </vt:variant>
      <vt:variant>
        <vt:i4>1310770</vt:i4>
      </vt:variant>
      <vt:variant>
        <vt:i4>74</vt:i4>
      </vt:variant>
      <vt:variant>
        <vt:i4>0</vt:i4>
      </vt:variant>
      <vt:variant>
        <vt:i4>5</vt:i4>
      </vt:variant>
      <vt:variant>
        <vt:lpwstr/>
      </vt:variant>
      <vt:variant>
        <vt:lpwstr>_Toc436562677</vt:lpwstr>
      </vt:variant>
      <vt:variant>
        <vt:i4>1310770</vt:i4>
      </vt:variant>
      <vt:variant>
        <vt:i4>68</vt:i4>
      </vt:variant>
      <vt:variant>
        <vt:i4>0</vt:i4>
      </vt:variant>
      <vt:variant>
        <vt:i4>5</vt:i4>
      </vt:variant>
      <vt:variant>
        <vt:lpwstr/>
      </vt:variant>
      <vt:variant>
        <vt:lpwstr>_Toc436562676</vt:lpwstr>
      </vt:variant>
      <vt:variant>
        <vt:i4>1310770</vt:i4>
      </vt:variant>
      <vt:variant>
        <vt:i4>62</vt:i4>
      </vt:variant>
      <vt:variant>
        <vt:i4>0</vt:i4>
      </vt:variant>
      <vt:variant>
        <vt:i4>5</vt:i4>
      </vt:variant>
      <vt:variant>
        <vt:lpwstr/>
      </vt:variant>
      <vt:variant>
        <vt:lpwstr>_Toc436562675</vt:lpwstr>
      </vt:variant>
      <vt:variant>
        <vt:i4>1310770</vt:i4>
      </vt:variant>
      <vt:variant>
        <vt:i4>56</vt:i4>
      </vt:variant>
      <vt:variant>
        <vt:i4>0</vt:i4>
      </vt:variant>
      <vt:variant>
        <vt:i4>5</vt:i4>
      </vt:variant>
      <vt:variant>
        <vt:lpwstr/>
      </vt:variant>
      <vt:variant>
        <vt:lpwstr>_Toc436562674</vt:lpwstr>
      </vt:variant>
      <vt:variant>
        <vt:i4>1310770</vt:i4>
      </vt:variant>
      <vt:variant>
        <vt:i4>50</vt:i4>
      </vt:variant>
      <vt:variant>
        <vt:i4>0</vt:i4>
      </vt:variant>
      <vt:variant>
        <vt:i4>5</vt:i4>
      </vt:variant>
      <vt:variant>
        <vt:lpwstr/>
      </vt:variant>
      <vt:variant>
        <vt:lpwstr>_Toc436562673</vt:lpwstr>
      </vt:variant>
      <vt:variant>
        <vt:i4>1310770</vt:i4>
      </vt:variant>
      <vt:variant>
        <vt:i4>44</vt:i4>
      </vt:variant>
      <vt:variant>
        <vt:i4>0</vt:i4>
      </vt:variant>
      <vt:variant>
        <vt:i4>5</vt:i4>
      </vt:variant>
      <vt:variant>
        <vt:lpwstr/>
      </vt:variant>
      <vt:variant>
        <vt:lpwstr>_Toc436562672</vt:lpwstr>
      </vt:variant>
      <vt:variant>
        <vt:i4>1310770</vt:i4>
      </vt:variant>
      <vt:variant>
        <vt:i4>38</vt:i4>
      </vt:variant>
      <vt:variant>
        <vt:i4>0</vt:i4>
      </vt:variant>
      <vt:variant>
        <vt:i4>5</vt:i4>
      </vt:variant>
      <vt:variant>
        <vt:lpwstr/>
      </vt:variant>
      <vt:variant>
        <vt:lpwstr>_Toc436562671</vt:lpwstr>
      </vt:variant>
      <vt:variant>
        <vt:i4>1310770</vt:i4>
      </vt:variant>
      <vt:variant>
        <vt:i4>32</vt:i4>
      </vt:variant>
      <vt:variant>
        <vt:i4>0</vt:i4>
      </vt:variant>
      <vt:variant>
        <vt:i4>5</vt:i4>
      </vt:variant>
      <vt:variant>
        <vt:lpwstr/>
      </vt:variant>
      <vt:variant>
        <vt:lpwstr>_Toc436562670</vt:lpwstr>
      </vt:variant>
      <vt:variant>
        <vt:i4>1376306</vt:i4>
      </vt:variant>
      <vt:variant>
        <vt:i4>26</vt:i4>
      </vt:variant>
      <vt:variant>
        <vt:i4>0</vt:i4>
      </vt:variant>
      <vt:variant>
        <vt:i4>5</vt:i4>
      </vt:variant>
      <vt:variant>
        <vt:lpwstr/>
      </vt:variant>
      <vt:variant>
        <vt:lpwstr>_Toc436562669</vt:lpwstr>
      </vt:variant>
      <vt:variant>
        <vt:i4>1376306</vt:i4>
      </vt:variant>
      <vt:variant>
        <vt:i4>20</vt:i4>
      </vt:variant>
      <vt:variant>
        <vt:i4>0</vt:i4>
      </vt:variant>
      <vt:variant>
        <vt:i4>5</vt:i4>
      </vt:variant>
      <vt:variant>
        <vt:lpwstr/>
      </vt:variant>
      <vt:variant>
        <vt:lpwstr>_Toc436562668</vt:lpwstr>
      </vt:variant>
      <vt:variant>
        <vt:i4>1376306</vt:i4>
      </vt:variant>
      <vt:variant>
        <vt:i4>14</vt:i4>
      </vt:variant>
      <vt:variant>
        <vt:i4>0</vt:i4>
      </vt:variant>
      <vt:variant>
        <vt:i4>5</vt:i4>
      </vt:variant>
      <vt:variant>
        <vt:lpwstr/>
      </vt:variant>
      <vt:variant>
        <vt:lpwstr>_Toc436562667</vt:lpwstr>
      </vt:variant>
      <vt:variant>
        <vt:i4>1376306</vt:i4>
      </vt:variant>
      <vt:variant>
        <vt:i4>8</vt:i4>
      </vt:variant>
      <vt:variant>
        <vt:i4>0</vt:i4>
      </vt:variant>
      <vt:variant>
        <vt:i4>5</vt:i4>
      </vt:variant>
      <vt:variant>
        <vt:lpwstr/>
      </vt:variant>
      <vt:variant>
        <vt:lpwstr>_Toc436562666</vt:lpwstr>
      </vt:variant>
      <vt:variant>
        <vt:i4>1376306</vt:i4>
      </vt:variant>
      <vt:variant>
        <vt:i4>2</vt:i4>
      </vt:variant>
      <vt:variant>
        <vt:i4>0</vt:i4>
      </vt:variant>
      <vt:variant>
        <vt:i4>5</vt:i4>
      </vt:variant>
      <vt:variant>
        <vt:lpwstr/>
      </vt:variant>
      <vt:variant>
        <vt:lpwstr>_Toc436562665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Niladri</dc:creator>
  <cp:lastModifiedBy>KRISHITA</cp:lastModifiedBy>
  <cp:revision>107</cp:revision>
  <cp:lastPrinted>2018-11-29T16:20:00Z</cp:lastPrinted>
  <dcterms:created xsi:type="dcterms:W3CDTF">2018-11-29T16:23:00Z</dcterms:created>
  <dcterms:modified xsi:type="dcterms:W3CDTF">2019-11-28T11:37:00Z</dcterms:modified>
</cp:coreProperties>
</file>